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January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2279650</wp:posOffset>
            </wp:positionH>
            <wp:positionV relativeFrom="paragraph">
              <wp:posOffset>165735</wp:posOffset>
            </wp:positionV>
            <wp:extent cx="2444115" cy="926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4115"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tbl>
      <w:tblPr>
        <w:tblLayout w:type="fixed"/>
        <w:tblInd w:w="1380" w:type="dxa"/>
        <w:tblCellMar>
          <w:top w:w="0" w:type="dxa"/>
          <w:left w:w="0" w:type="dxa"/>
          <w:bottom w:w="0" w:type="dxa"/>
          <w:right w:w="0" w:type="dxa"/>
        </w:tblCellMar>
      </w:tblPr>
      <w:tr>
        <w:trPr>
          <w:trHeight w:val="253"/>
        </w:trPr>
        <w:tc>
          <w:tcPr>
            <w:tcW w:w="2280" w:type="dxa"/>
            <w:vAlign w:val="bottom"/>
          </w:tcPr>
          <w:p>
            <w:pPr>
              <w:spacing w:after="0"/>
              <w:rPr>
                <w:sz w:val="21"/>
                <w:szCs w:val="21"/>
                <w:color w:val="auto"/>
              </w:rPr>
            </w:pPr>
          </w:p>
        </w:tc>
        <w:tc>
          <w:tcPr>
            <w:tcW w:w="6000" w:type="dxa"/>
            <w:vAlign w:val="bottom"/>
            <w:gridSpan w:val="7"/>
          </w:tcPr>
          <w:p>
            <w:pPr>
              <w:jc w:val="center"/>
              <w:ind w:right="2208"/>
              <w:spacing w:after="0"/>
              <w:rPr>
                <w:sz w:val="20"/>
                <w:szCs w:val="20"/>
                <w:color w:val="auto"/>
              </w:rPr>
            </w:pPr>
            <w:r>
              <w:rPr>
                <w:rFonts w:ascii="Arial" w:cs="Arial" w:eastAsia="Arial" w:hAnsi="Arial"/>
                <w:sz w:val="22"/>
                <w:szCs w:val="22"/>
                <w:b w:val="1"/>
                <w:bCs w:val="1"/>
                <w:color w:val="auto"/>
                <w:w w:val="90"/>
              </w:rPr>
              <w:t>Charter Communications, Inc.</w:t>
            </w:r>
          </w:p>
        </w:tc>
      </w:tr>
      <w:tr>
        <w:trPr>
          <w:trHeight w:val="230"/>
        </w:trPr>
        <w:tc>
          <w:tcPr>
            <w:tcW w:w="2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Borders>
              <w:bottom w:val="single" w:sz="8" w:color="auto"/>
            </w:tcBorders>
            <w:gridSpan w:val="3"/>
          </w:tcPr>
          <w:p>
            <w:pPr>
              <w:jc w:val="center"/>
              <w:spacing w:after="0" w:line="230" w:lineRule="exact"/>
              <w:rPr>
                <w:sz w:val="20"/>
                <w:szCs w:val="20"/>
                <w:color w:val="auto"/>
              </w:rPr>
            </w:pPr>
            <w:r>
              <w:rPr>
                <w:rFonts w:ascii="Arial" w:cs="Arial" w:eastAsia="Arial" w:hAnsi="Arial"/>
                <w:sz w:val="22"/>
                <w:szCs w:val="22"/>
                <w:b w:val="1"/>
                <w:bCs w:val="1"/>
                <w:color w:val="auto"/>
                <w:w w:val="94"/>
              </w:rPr>
              <w:t>CCO Holdings, LLC</w:t>
            </w:r>
          </w:p>
        </w:tc>
        <w:tc>
          <w:tcPr>
            <w:tcW w:w="3180" w:type="dxa"/>
            <w:vAlign w:val="bottom"/>
            <w:gridSpan w:val="2"/>
          </w:tcPr>
          <w:p>
            <w:pPr>
              <w:spacing w:after="0"/>
              <w:rPr>
                <w:sz w:val="20"/>
                <w:szCs w:val="20"/>
                <w:color w:val="auto"/>
              </w:rPr>
            </w:pPr>
          </w:p>
        </w:tc>
      </w:tr>
      <w:tr>
        <w:trPr>
          <w:trHeight w:val="184"/>
        </w:trPr>
        <w:tc>
          <w:tcPr>
            <w:tcW w:w="2280" w:type="dxa"/>
            <w:vAlign w:val="bottom"/>
          </w:tcPr>
          <w:p>
            <w:pPr>
              <w:spacing w:after="0"/>
              <w:rPr>
                <w:sz w:val="16"/>
                <w:szCs w:val="16"/>
                <w:color w:val="auto"/>
              </w:rPr>
            </w:pPr>
          </w:p>
        </w:tc>
        <w:tc>
          <w:tcPr>
            <w:tcW w:w="6000" w:type="dxa"/>
            <w:vAlign w:val="bottom"/>
            <w:gridSpan w:val="7"/>
          </w:tcPr>
          <w:p>
            <w:pPr>
              <w:jc w:val="center"/>
              <w:ind w:right="222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r>
      <w:tr>
        <w:trPr>
          <w:trHeight w:val="377"/>
        </w:trPr>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gridSpan w:val="3"/>
          </w:tcPr>
          <w:p>
            <w:pPr>
              <w:spacing w:after="0"/>
              <w:rPr>
                <w:sz w:val="24"/>
                <w:szCs w:val="24"/>
                <w:color w:val="auto"/>
              </w:rPr>
            </w:pPr>
          </w:p>
        </w:tc>
      </w:tr>
      <w:tr>
        <w:trPr>
          <w:trHeight w:val="184"/>
        </w:trPr>
        <w:tc>
          <w:tcPr>
            <w:tcW w:w="2280" w:type="dxa"/>
            <w:vAlign w:val="bottom"/>
          </w:tcPr>
          <w:p>
            <w:pPr>
              <w:spacing w:after="0"/>
              <w:rPr>
                <w:sz w:val="16"/>
                <w:szCs w:val="16"/>
                <w:color w:val="auto"/>
              </w:rPr>
            </w:pPr>
          </w:p>
        </w:tc>
        <w:tc>
          <w:tcPr>
            <w:tcW w:w="6000" w:type="dxa"/>
            <w:vAlign w:val="bottom"/>
            <w:gridSpan w:val="7"/>
          </w:tcPr>
          <w:p>
            <w:pPr>
              <w:jc w:val="center"/>
              <w:ind w:right="2228"/>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r>
      <w:tr>
        <w:trPr>
          <w:trHeight w:val="426"/>
        </w:trPr>
        <w:tc>
          <w:tcPr>
            <w:tcW w:w="2280" w:type="dxa"/>
            <w:vAlign w:val="bottom"/>
          </w:tcPr>
          <w:p>
            <w:pPr>
              <w:jc w:val="center"/>
              <w:ind w:left="456"/>
              <w:spacing w:after="0"/>
              <w:rPr>
                <w:sz w:val="20"/>
                <w:szCs w:val="20"/>
                <w:color w:val="auto"/>
              </w:rPr>
            </w:pPr>
            <w:r>
              <w:rPr>
                <w:rFonts w:ascii="Arial" w:cs="Arial" w:eastAsia="Arial" w:hAnsi="Arial"/>
                <w:sz w:val="18"/>
                <w:szCs w:val="18"/>
                <w:b w:val="1"/>
                <w:bCs w:val="1"/>
                <w:color w:val="auto"/>
                <w:w w:val="90"/>
              </w:rPr>
              <w:t>001-33664</w:t>
            </w:r>
          </w:p>
        </w:tc>
        <w:tc>
          <w:tcPr>
            <w:tcW w:w="6000" w:type="dxa"/>
            <w:vAlign w:val="bottom"/>
            <w:gridSpan w:val="7"/>
          </w:tcPr>
          <w:p>
            <w:pPr>
              <w:jc w:val="center"/>
              <w:ind w:left="3334"/>
              <w:spacing w:after="0"/>
              <w:rPr>
                <w:sz w:val="20"/>
                <w:szCs w:val="20"/>
                <w:color w:val="auto"/>
              </w:rPr>
            </w:pPr>
            <w:r>
              <w:rPr>
                <w:rFonts w:ascii="Arial" w:cs="Arial" w:eastAsia="Arial" w:hAnsi="Arial"/>
                <w:sz w:val="18"/>
                <w:szCs w:val="18"/>
                <w:b w:val="1"/>
                <w:bCs w:val="1"/>
                <w:color w:val="auto"/>
                <w:w w:val="89"/>
              </w:rPr>
              <w:t>84-1496755</w:t>
            </w:r>
          </w:p>
        </w:tc>
      </w:tr>
      <w:tr>
        <w:trPr>
          <w:trHeight w:val="241"/>
        </w:trPr>
        <w:tc>
          <w:tcPr>
            <w:tcW w:w="2280" w:type="dxa"/>
            <w:vAlign w:val="bottom"/>
          </w:tcPr>
          <w:p>
            <w:pPr>
              <w:jc w:val="center"/>
              <w:ind w:left="456"/>
              <w:spacing w:after="0"/>
              <w:rPr>
                <w:sz w:val="20"/>
                <w:szCs w:val="20"/>
                <w:color w:val="auto"/>
              </w:rPr>
            </w:pPr>
            <w:r>
              <w:rPr>
                <w:rFonts w:ascii="Arial" w:cs="Arial" w:eastAsia="Arial" w:hAnsi="Arial"/>
                <w:sz w:val="18"/>
                <w:szCs w:val="18"/>
                <w:b w:val="1"/>
                <w:bCs w:val="1"/>
                <w:color w:val="auto"/>
                <w:w w:val="90"/>
              </w:rPr>
              <w:t>001-37789</w:t>
            </w:r>
          </w:p>
        </w:tc>
        <w:tc>
          <w:tcPr>
            <w:tcW w:w="6000" w:type="dxa"/>
            <w:vAlign w:val="bottom"/>
            <w:gridSpan w:val="7"/>
          </w:tcPr>
          <w:p>
            <w:pPr>
              <w:jc w:val="center"/>
              <w:ind w:left="3334"/>
              <w:spacing w:after="0"/>
              <w:rPr>
                <w:sz w:val="20"/>
                <w:szCs w:val="20"/>
                <w:color w:val="auto"/>
              </w:rPr>
            </w:pPr>
            <w:r>
              <w:rPr>
                <w:rFonts w:ascii="Arial" w:cs="Arial" w:eastAsia="Arial" w:hAnsi="Arial"/>
                <w:sz w:val="18"/>
                <w:szCs w:val="18"/>
                <w:b w:val="1"/>
                <w:bCs w:val="1"/>
                <w:color w:val="auto"/>
                <w:w w:val="89"/>
              </w:rPr>
              <w:t>86-1067239</w:t>
            </w:r>
          </w:p>
        </w:tc>
      </w:tr>
      <w:tr>
        <w:trPr>
          <w:trHeight w:val="182"/>
        </w:trPr>
        <w:tc>
          <w:tcPr>
            <w:tcW w:w="2280" w:type="dxa"/>
            <w:vAlign w:val="bottom"/>
            <w:tcBorders>
              <w:top w:val="single" w:sz="8" w:color="auto"/>
            </w:tcBorders>
          </w:tcPr>
          <w:p>
            <w:pPr>
              <w:jc w:val="center"/>
              <w:ind w:left="456"/>
              <w:spacing w:after="0"/>
              <w:rPr>
                <w:sz w:val="20"/>
                <w:szCs w:val="20"/>
                <w:color w:val="auto"/>
              </w:rPr>
            </w:pPr>
            <w:r>
              <w:rPr>
                <w:rFonts w:ascii="Arial" w:cs="Arial" w:eastAsia="Arial" w:hAnsi="Arial"/>
                <w:sz w:val="14"/>
                <w:szCs w:val="14"/>
                <w:i w:val="1"/>
                <w:iCs w:val="1"/>
                <w:color w:val="auto"/>
                <w:w w:val="94"/>
              </w:rPr>
              <w:t>(Commission File Number)</w:t>
            </w:r>
          </w:p>
        </w:tc>
        <w:tc>
          <w:tcPr>
            <w:tcW w:w="5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(I.R.S. Employer Identification Number)</w:t>
            </w:r>
          </w:p>
        </w:tc>
      </w:tr>
    </w:tbl>
    <w:p>
      <w:pPr>
        <w:spacing w:after="0" w:line="16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400 Atlantic Street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Stamford, Connecticut 06091</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(203) 905-7801</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142240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1"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60"/>
          </w:cols>
          <w:pgMar w:left="440" w:top="368"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On January 14, 2019, Charter Communications Operating, LLC and Charter Communications Operating Capital Corp., as issuers (the “Issuers”), CCO Holdings, LLC, as parent guarantor, and the guarantors party thereto entered into an underwriting agreement (the “Underwriting Agreement”) with Citigroup Global Markets Inc. and Deutsche Bank Securities Inc., as representatives of the several underwriters named in Schedule I thereto, with respect to the issuance and sale of an aggregate of $1,250,000,000 principal amount of 5.050% Senior Secured Notes due 2029 (the “2029 Notes”) and an aggregate of $750,000,000 principal amount of 5.750% Senior Secured Notes due 2048 (the “2048 Notes” and, together with the 2029 Notes, the “Notes”). The 2048 Notes will form part of the same series as the $1,700,000,000 aggregate principal amount of the Issuers’ 5.750% Senior Secured Notes issued on April 17, 2018. The Underwriting Agreement contains representations, warranties and covenants of the parties thereto, conditions to closing, indemnification obligations of the parties thereto and termination and other customary provisions.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 copy of the Underwriting Agreement is filed herewith as Exhibit 99.1. The foregoing description of the Underwriting Agreement does not purport to be complete and is qualified in its entirety by reference to the full text of the Underwriting Agreement, which is filed as Exhibit 99.1 hereto and is incorporated herein by reference.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40" w:type="dxa"/>
            <w:vAlign w:val="bottom"/>
            <w:gridSpan w:val="2"/>
          </w:tcPr>
          <w:p>
            <w:pPr>
              <w:spacing w:after="0"/>
              <w:rPr>
                <w:sz w:val="20"/>
                <w:szCs w:val="20"/>
                <w:color w:val="auto"/>
              </w:rPr>
            </w:pPr>
            <w:r>
              <w:rPr>
                <w:rFonts w:ascii="Arial" w:cs="Arial" w:eastAsia="Arial" w:hAnsi="Arial"/>
                <w:sz w:val="16"/>
                <w:szCs w:val="16"/>
                <w:b w:val="1"/>
                <w:bCs w:val="1"/>
                <w:color w:val="auto"/>
                <w:w w:val="94"/>
              </w:rPr>
              <w:t>Exhibit Number</w:t>
            </w:r>
          </w:p>
        </w:tc>
        <w:tc>
          <w:tcPr>
            <w:tcW w:w="1000" w:type="dxa"/>
            <w:vAlign w:val="bottom"/>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gridSpan w:val="4"/>
          </w:tcPr>
          <w:p>
            <w:pPr>
              <w:ind w:left="1160"/>
              <w:spacing w:after="0"/>
              <w:rPr>
                <w:sz w:val="20"/>
                <w:szCs w:val="20"/>
                <w:color w:val="auto"/>
              </w:rPr>
            </w:pPr>
            <w:r>
              <w:rPr>
                <w:rFonts w:ascii="Arial" w:cs="Arial" w:eastAsia="Arial" w:hAnsi="Arial"/>
                <w:sz w:val="16"/>
                <w:szCs w:val="16"/>
                <w:b w:val="1"/>
                <w:bCs w:val="1"/>
                <w:color w:val="auto"/>
              </w:rPr>
              <w:t>Description</w:t>
            </w:r>
          </w:p>
        </w:tc>
      </w:tr>
      <w:tr>
        <w:trPr>
          <w:trHeight w:val="270"/>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5.1</w:t>
            </w:r>
          </w:p>
        </w:tc>
        <w:tc>
          <w:tcPr>
            <w:tcW w:w="1000" w:type="dxa"/>
            <w:vAlign w:val="bottom"/>
          </w:tcPr>
          <w:p>
            <w:pPr>
              <w:spacing w:after="0"/>
              <w:rPr>
                <w:sz w:val="23"/>
                <w:szCs w:val="23"/>
                <w:color w:val="auto"/>
              </w:rPr>
            </w:pPr>
          </w:p>
        </w:tc>
        <w:tc>
          <w:tcPr>
            <w:tcW w:w="2880" w:type="dxa"/>
            <w:vAlign w:val="bottom"/>
            <w:tcBorders>
              <w:bottom w:val="single" w:sz="8" w:color="0000EE"/>
            </w:tcBorders>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Legal Opinion of Kirkland &amp; Ellis LLP.</w:t>
              </w:r>
            </w:hyperlink>
          </w:p>
        </w:tc>
        <w:tc>
          <w:tcPr>
            <w:tcW w:w="6020" w:type="dxa"/>
            <w:vAlign w:val="bottom"/>
            <w:gridSpan w:val="4"/>
          </w:tcPr>
          <w:p>
            <w:pPr>
              <w:spacing w:after="0"/>
              <w:rPr>
                <w:sz w:val="23"/>
                <w:szCs w:val="23"/>
                <w:color w:val="auto"/>
              </w:rPr>
            </w:pPr>
          </w:p>
        </w:tc>
      </w:tr>
      <w:tr>
        <w:trPr>
          <w:trHeight w:val="30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5"/>
              </w:rPr>
              <w:t>23.1</w:t>
            </w:r>
          </w:p>
        </w:tc>
        <w:tc>
          <w:tcPr>
            <w:tcW w:w="1000" w:type="dxa"/>
            <w:vAlign w:val="bottom"/>
          </w:tcPr>
          <w:p>
            <w:pPr>
              <w:spacing w:after="0"/>
              <w:rPr>
                <w:sz w:val="24"/>
                <w:szCs w:val="24"/>
                <w:color w:val="auto"/>
              </w:rPr>
            </w:pPr>
          </w:p>
        </w:tc>
        <w:tc>
          <w:tcPr>
            <w:tcW w:w="890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Consent of Kirkland &amp; Ellis LLP (included in Exhibit 5.1 hereto).</w:t>
              </w:r>
            </w:hyperlink>
          </w:p>
        </w:tc>
      </w:tr>
      <w:tr>
        <w:trPr>
          <w:trHeight w:val="20"/>
        </w:trPr>
        <w:tc>
          <w:tcPr>
            <w:tcW w:w="1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740" w:type="dxa"/>
            <w:vAlign w:val="bottom"/>
            <w:gridSpan w:val="2"/>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5"/>
              </w:rPr>
              <w:t>99.1</w:t>
            </w:r>
          </w:p>
        </w:tc>
        <w:tc>
          <w:tcPr>
            <w:tcW w:w="1000" w:type="dxa"/>
            <w:vAlign w:val="bottom"/>
          </w:tcPr>
          <w:p>
            <w:pPr>
              <w:spacing w:after="0"/>
              <w:rPr>
                <w:sz w:val="24"/>
                <w:szCs w:val="24"/>
                <w:color w:val="auto"/>
              </w:rPr>
            </w:pPr>
          </w:p>
        </w:tc>
        <w:tc>
          <w:tcPr>
            <w:tcW w:w="82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Underwriting Agreement, dated as of January 14, 2019, among Charter Communications Operating, LLC, Charter</w:t>
              </w:r>
            </w:hyperlink>
          </w:p>
        </w:tc>
        <w:tc>
          <w:tcPr>
            <w:tcW w:w="62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3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Communications Operating Capital Corp., CCO Holdings, LLC, as parent guarantor, the subsidiary guarantors party</w:t>
              </w:r>
            </w:hyperlink>
          </w:p>
        </w:tc>
        <w:tc>
          <w:tcPr>
            <w:tcW w:w="520" w:type="dxa"/>
            <w:vAlign w:val="bottom"/>
          </w:tcPr>
          <w:p>
            <w:pPr>
              <w:spacing w:after="0"/>
              <w:rPr>
                <w:sz w:val="17"/>
                <w:szCs w:val="17"/>
                <w:color w:val="auto"/>
              </w:rPr>
            </w:pPr>
          </w:p>
        </w:tc>
      </w:tr>
    </w:tbl>
    <w:p>
      <w:pPr>
        <w:spacing w:after="0" w:line="13" w:lineRule="exact"/>
        <w:rPr>
          <w:sz w:val="20"/>
          <w:szCs w:val="20"/>
          <w:color w:val="auto"/>
        </w:rPr>
      </w:pPr>
    </w:p>
    <w:p>
      <w:pPr>
        <w:ind w:left="2140" w:right="20"/>
        <w:spacing w:after="0" w:line="277" w:lineRule="auto"/>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thereto and Citigroup Global Markets Inc. and Deutsche Bank Securities Inc., as representatives of the several underwriters</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named in Schedule I thereto.</w:t>
        </w:r>
      </w:hyperlink>
    </w:p>
    <w:p>
      <w:pPr>
        <w:sectPr>
          <w:pgSz w:w="11900" w:h="16838" w:orient="portrait"/>
          <w:cols w:equalWidth="0" w:num="1">
            <w:col w:w="11040"/>
          </w:cols>
          <w:pgMar w:left="440" w:top="270" w:right="4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560" w:firstLine="881"/>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each of Charter Communications, Inc. and CCO Holdings, LLC has duly caused this Current Report to be signed on its behalf by the undersigned hereunto duly authorized.</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CHARTER COMMUNICATIONS,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Kevin D. Howard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Vice President—Finance, Controller and Chief</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Accounting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CCO HOLDINGS,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D.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Kevin D. Howard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Vice President—Finance, Controller and Chief</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Accounting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2019</w:t>
      </w:r>
    </w:p>
    <w:p>
      <w:pPr>
        <w:sectPr>
          <w:pgSz w:w="11900" w:h="16838" w:orient="portrait"/>
          <w:cols w:equalWidth="0" w:num="1">
            <w:col w:w="10880"/>
          </w:cols>
          <w:pgMar w:left="440" w:top="270" w:right="5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172085</wp:posOffset>
            </wp:positionV>
            <wp:extent cx="224663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466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601 Lexington Avenue</w:t>
      </w:r>
    </w:p>
    <w:p>
      <w:pPr>
        <w:ind w:left="5000"/>
        <w:spacing w:after="0"/>
        <w:rPr>
          <w:sz w:val="20"/>
          <w:szCs w:val="20"/>
          <w:color w:val="auto"/>
        </w:rPr>
      </w:pPr>
      <w:r>
        <w:rPr>
          <w:rFonts w:ascii="Arial" w:cs="Arial" w:eastAsia="Arial" w:hAnsi="Arial"/>
          <w:sz w:val="14"/>
          <w:szCs w:val="14"/>
          <w:color w:val="auto"/>
        </w:rPr>
        <w:t>New York, NY 10022</w:t>
      </w:r>
    </w:p>
    <w:p>
      <w:pPr>
        <w:sectPr>
          <w:pgSz w:w="11900" w:h="16838" w:orient="portrait"/>
          <w:cols w:equalWidth="0" w:num="1">
            <w:col w:w="11020"/>
          </w:cols>
          <w:pgMar w:left="440" w:top="121" w:right="439" w:bottom="1440" w:gutter="0" w:footer="0" w:header="0"/>
        </w:sectPr>
      </w:pPr>
    </w:p>
    <w:p>
      <w:pPr>
        <w:spacing w:after="0" w:line="219" w:lineRule="exact"/>
        <w:rPr>
          <w:sz w:val="20"/>
          <w:szCs w:val="20"/>
          <w:color w:val="auto"/>
        </w:rPr>
      </w:pPr>
    </w:p>
    <w:p>
      <w:pPr>
        <w:ind w:left="5180"/>
        <w:spacing w:after="0"/>
        <w:rPr>
          <w:sz w:val="20"/>
          <w:szCs w:val="20"/>
          <w:color w:val="auto"/>
        </w:rPr>
      </w:pPr>
      <w:r>
        <w:rPr>
          <w:rFonts w:ascii="Arial" w:cs="Arial" w:eastAsia="Arial" w:hAnsi="Arial"/>
          <w:sz w:val="13"/>
          <w:szCs w:val="13"/>
          <w:color w:val="auto"/>
        </w:rPr>
        <w:t>(212) 446-4800</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Facsimile:</w:t>
      </w:r>
    </w:p>
    <w:p>
      <w:pPr>
        <w:jc w:val="center"/>
        <w:ind w:right="40"/>
        <w:spacing w:after="0"/>
        <w:rPr>
          <w:sz w:val="20"/>
          <w:szCs w:val="20"/>
          <w:color w:val="auto"/>
        </w:rPr>
      </w:pPr>
      <w:r>
        <w:rPr>
          <w:rFonts w:ascii="Arial" w:cs="Arial" w:eastAsia="Arial" w:hAnsi="Arial"/>
          <w:sz w:val="13"/>
          <w:szCs w:val="13"/>
          <w:color w:val="auto"/>
        </w:rPr>
        <w:t>(212) 446-4900</w:t>
      </w:r>
    </w:p>
    <w:p>
      <w:pPr>
        <w:spacing w:after="0" w:line="200" w:lineRule="exact"/>
        <w:rPr>
          <w:sz w:val="20"/>
          <w:szCs w:val="20"/>
          <w:color w:val="auto"/>
        </w:rPr>
      </w:pPr>
    </w:p>
    <w:p>
      <w:pPr>
        <w:sectPr>
          <w:pgSz w:w="11900" w:h="16838" w:orient="portrait"/>
          <w:cols w:equalWidth="0" w:num="2">
            <w:col w:w="9360" w:space="720"/>
            <w:col w:w="940"/>
          </w:cols>
          <w:pgMar w:left="440" w:top="121" w:right="439" w:bottom="1440" w:gutter="0" w:footer="0" w:header="0"/>
          <w:type w:val="continuous"/>
        </w:sectPr>
      </w:pPr>
    </w:p>
    <w:p>
      <w:pPr>
        <w:spacing w:after="0" w:line="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www.kirkland.com</w:t>
      </w:r>
    </w:p>
    <w:p>
      <w:pPr>
        <w:sectPr>
          <w:pgSz w:w="11900" w:h="16838" w:orient="portrait"/>
          <w:cols w:equalWidth="0" w:num="1">
            <w:col w:w="11020"/>
          </w:cols>
          <w:pgMar w:left="440" w:top="121" w:right="439" w:bottom="1440" w:gutter="0" w:footer="0" w:header="0"/>
          <w:type w:val="continuous"/>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January 17,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Operating,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Operating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400 Atlantic Street,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06901</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are issuing this opinion letter in our capacity as special legal counsel to Charter Communications Operating, LLC, a Delaware limited liability company (“</w:t>
      </w:r>
      <w:r>
        <w:rPr>
          <w:rFonts w:ascii="Arial" w:cs="Arial" w:eastAsia="Arial" w:hAnsi="Arial"/>
          <w:sz w:val="18"/>
          <w:szCs w:val="18"/>
          <w:u w:val="single" w:color="auto"/>
          <w:color w:val="auto"/>
        </w:rPr>
        <w:t>CCO</w:t>
      </w:r>
      <w:r>
        <w:rPr>
          <w:rFonts w:ascii="Arial" w:cs="Arial" w:eastAsia="Arial" w:hAnsi="Arial"/>
          <w:sz w:val="18"/>
          <w:szCs w:val="18"/>
          <w:color w:val="auto"/>
        </w:rPr>
        <w:t>”), Charter Communications Operating Capital Corp., a Delaware corporation (“</w:t>
      </w:r>
      <w:r>
        <w:rPr>
          <w:rFonts w:ascii="Arial" w:cs="Arial" w:eastAsia="Arial" w:hAnsi="Arial"/>
          <w:sz w:val="18"/>
          <w:szCs w:val="18"/>
          <w:u w:val="single" w:color="auto"/>
          <w:color w:val="auto"/>
        </w:rPr>
        <w:t>CCO Capital</w:t>
      </w:r>
      <w:r>
        <w:rPr>
          <w:rFonts w:ascii="Arial" w:cs="Arial" w:eastAsia="Arial" w:hAnsi="Arial"/>
          <w:sz w:val="18"/>
          <w:szCs w:val="18"/>
          <w:color w:val="auto"/>
        </w:rPr>
        <w:t>” and, together with CCO, the “</w:t>
      </w:r>
      <w:r>
        <w:rPr>
          <w:rFonts w:ascii="Arial" w:cs="Arial" w:eastAsia="Arial" w:hAnsi="Arial"/>
          <w:sz w:val="18"/>
          <w:szCs w:val="18"/>
          <w:u w:val="single" w:color="auto"/>
          <w:color w:val="auto"/>
        </w:rPr>
        <w:t>Issuers</w:t>
      </w:r>
      <w:r>
        <w:rPr>
          <w:rFonts w:ascii="Arial" w:cs="Arial" w:eastAsia="Arial" w:hAnsi="Arial"/>
          <w:sz w:val="18"/>
          <w:szCs w:val="18"/>
          <w:color w:val="auto"/>
        </w:rPr>
        <w:t>”), CCO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of the other entities listed on Exhibit A hereto (together with the Company, the “</w:t>
      </w:r>
      <w:r>
        <w:rPr>
          <w:rFonts w:ascii="Arial" w:cs="Arial" w:eastAsia="Arial" w:hAnsi="Arial"/>
          <w:sz w:val="18"/>
          <w:szCs w:val="18"/>
          <w:u w:val="single" w:color="auto"/>
          <w:color w:val="auto"/>
        </w:rPr>
        <w:t>Guarantors</w:t>
      </w:r>
      <w:r>
        <w:rPr>
          <w:rFonts w:ascii="Arial" w:cs="Arial" w:eastAsia="Arial" w:hAnsi="Arial"/>
          <w:sz w:val="18"/>
          <w:szCs w:val="18"/>
          <w:color w:val="auto"/>
        </w:rPr>
        <w:t>”) in connection with the issuance and sale by the Issuers of (i) $1,250,000,000 in aggregate principal amount of 5.050% Senior Secured Notes due 2029 (the “</w:t>
      </w:r>
      <w:r>
        <w:rPr>
          <w:rFonts w:ascii="Arial" w:cs="Arial" w:eastAsia="Arial" w:hAnsi="Arial"/>
          <w:sz w:val="18"/>
          <w:szCs w:val="18"/>
          <w:u w:val="single" w:color="auto"/>
          <w:color w:val="auto"/>
        </w:rPr>
        <w:t>2029 Notes</w:t>
      </w:r>
      <w:r>
        <w:rPr>
          <w:rFonts w:ascii="Arial" w:cs="Arial" w:eastAsia="Arial" w:hAnsi="Arial"/>
          <w:sz w:val="18"/>
          <w:szCs w:val="18"/>
          <w:color w:val="auto"/>
        </w:rPr>
        <w:t>”) and (ii) $750,000,000 in aggregate principal amount of 5.750% Senior Secured Notes due 2048 (the “</w:t>
      </w:r>
      <w:r>
        <w:rPr>
          <w:rFonts w:ascii="Arial" w:cs="Arial" w:eastAsia="Arial" w:hAnsi="Arial"/>
          <w:sz w:val="18"/>
          <w:szCs w:val="18"/>
          <w:u w:val="single" w:color="auto"/>
          <w:color w:val="auto"/>
        </w:rPr>
        <w:t>2048 Notes</w:t>
      </w:r>
      <w:r>
        <w:rPr>
          <w:rFonts w:ascii="Arial" w:cs="Arial" w:eastAsia="Arial" w:hAnsi="Arial"/>
          <w:sz w:val="18"/>
          <w:szCs w:val="18"/>
          <w:color w:val="auto"/>
        </w:rPr>
        <w:t>” and, together with the 2029 Notes, the “</w:t>
      </w:r>
      <w:r>
        <w:rPr>
          <w:rFonts w:ascii="Arial" w:cs="Arial" w:eastAsia="Arial" w:hAnsi="Arial"/>
          <w:sz w:val="18"/>
          <w:szCs w:val="18"/>
          <w:u w:val="single" w:color="auto"/>
          <w:color w:val="auto"/>
        </w:rPr>
        <w:t>Notes</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which are guaranteed by the Guarantors (the “</w:t>
      </w:r>
      <w:r>
        <w:rPr>
          <w:rFonts w:ascii="Arial" w:cs="Arial" w:eastAsia="Arial" w:hAnsi="Arial"/>
          <w:sz w:val="18"/>
          <w:szCs w:val="18"/>
          <w:u w:val="single" w:color="auto"/>
          <w:color w:val="auto"/>
        </w:rPr>
        <w:t>Guarantees</w:t>
      </w:r>
      <w:r>
        <w:rPr>
          <w:rFonts w:ascii="Arial" w:cs="Arial" w:eastAsia="Arial" w:hAnsi="Arial"/>
          <w:sz w:val="18"/>
          <w:szCs w:val="18"/>
          <w:color w:val="auto"/>
        </w:rPr>
        <w:t>”).</w:t>
      </w:r>
    </w:p>
    <w:p>
      <w:pPr>
        <w:spacing w:after="0" w:line="189"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 xml:space="preserve">The companies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under the headings “Delaware Guarantors” and “California Guarantors” are collectively referred to herein as the “</w:t>
      </w:r>
      <w:r>
        <w:rPr>
          <w:rFonts w:ascii="Arial" w:cs="Arial" w:eastAsia="Arial" w:hAnsi="Arial"/>
          <w:sz w:val="18"/>
          <w:szCs w:val="18"/>
          <w:u w:val="single" w:color="auto"/>
          <w:color w:val="auto"/>
        </w:rPr>
        <w:t>Delaware and California Guarantors</w:t>
      </w:r>
      <w:r>
        <w:rPr>
          <w:rFonts w:ascii="Arial" w:cs="Arial" w:eastAsia="Arial" w:hAnsi="Arial"/>
          <w:sz w:val="18"/>
          <w:szCs w:val="18"/>
          <w:color w:val="auto"/>
        </w:rPr>
        <w:t>.”</w:t>
      </w:r>
    </w:p>
    <w:p>
      <w:pPr>
        <w:spacing w:after="0" w:line="170"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In that connection, we have examined originals, or copies certified or otherwise identified to our satisfaction, of such documents, corporate records and other instruments as we have deemed necessary for the purposes of this opinion, including (i) the certificates of incorporation, certificates of formation, bylaws, limited liability company agreements, partnership agreements and other organizational documents of the Issuers and the Delaware and California Guarantors, as applicable, (ii) the registration statement on Form S-3 (No. 333-222241) initially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December 22, 2017 (as amended by Amendment No. 1 thereto, filed August 13, 2018,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(iii) the indenture, dated July 23, 2015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by and among the Issuers, CCO Safari II, LLC, a Delaware limited liability company, and The Bank of New York Mellon Trust Company, N.A., as trustee (in such capacity, the “</w:t>
      </w:r>
      <w:r>
        <w:rPr>
          <w:rFonts w:ascii="Arial" w:cs="Arial" w:eastAsia="Arial" w:hAnsi="Arial"/>
          <w:sz w:val="17"/>
          <w:szCs w:val="17"/>
          <w:u w:val="single" w:color="auto"/>
          <w:color w:val="auto"/>
        </w:rPr>
        <w:t>Trustee</w:t>
      </w:r>
      <w:r>
        <w:rPr>
          <w:rFonts w:ascii="Arial" w:cs="Arial" w:eastAsia="Arial" w:hAnsi="Arial"/>
          <w:sz w:val="17"/>
          <w:szCs w:val="17"/>
          <w:color w:val="auto"/>
        </w:rPr>
        <w:t>”) and as collateral agent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as supplemented by the ninth supplemental indenture thereto, dated as of April 17, 2018 (the “</w:t>
      </w:r>
      <w:r>
        <w:rPr>
          <w:rFonts w:ascii="Arial" w:cs="Arial" w:eastAsia="Arial" w:hAnsi="Arial"/>
          <w:sz w:val="17"/>
          <w:szCs w:val="17"/>
          <w:u w:val="single" w:color="auto"/>
          <w:color w:val="auto"/>
        </w:rPr>
        <w:t>Ninth Supplemental Indenture</w:t>
      </w:r>
      <w:r>
        <w:rPr>
          <w:rFonts w:ascii="Arial" w:cs="Arial" w:eastAsia="Arial" w:hAnsi="Arial"/>
          <w:sz w:val="17"/>
          <w:szCs w:val="17"/>
          <w:color w:val="auto"/>
        </w:rPr>
        <w:t>”), and the twelfth supplemental indenture thereto, dated as of January 17, 2019 (the “Twelfth Supplemental Indenture” and, together with the Ninth Supplemental Indenture and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by and among the Issuers, the Guarantors, the Trustee and the Collateral Agent, and (iv) copies of the Notes.</w:t>
      </w:r>
    </w:p>
    <w:p>
      <w:pPr>
        <w:spacing w:after="0" w:line="183"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genuineness of the signatures of persons signing all documents in connection with which this opinion is rendered, the authority of such persons signing on behalf of the parties thereto other than the Issuers and the Delaware and California Guarantors, and the due authorization, execution and delivery of all documents by the parties thereto other than the Issuers and the Delaware and California Guarantors. As to any facts material to the opinions expressed herein that we have not independently established or verified, we have relied upon statements and representations of officers and other representatives of the Issuers and the Guarantors.</w:t>
      </w:r>
    </w:p>
    <w:p>
      <w:pPr>
        <w:spacing w:after="0" w:line="117"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4"/>
          <w:szCs w:val="14"/>
          <w:color w:val="auto"/>
        </w:rPr>
        <w:t>Beijing</w:t>
        <w:tab/>
        <w:t>Boston</w:t>
        <w:tab/>
        <w:t>Chicago</w:t>
        <w:tab/>
        <w:t>Dallas</w:t>
        <w:tab/>
        <w:t>Hong Kong</w:t>
        <w:tab/>
        <w:t>Houston</w:t>
        <w:tab/>
        <w:t>London</w:t>
        <w:tab/>
        <w:t>Los Angeles</w:t>
        <w:tab/>
        <w:t>Munich</w:t>
        <w:tab/>
        <w:t>Palo Alto</w:t>
        <w:tab/>
        <w:t>San Francisco</w:t>
        <w:tab/>
        <w:t>Shanghai</w:t>
      </w:r>
      <w:r>
        <w:rPr>
          <w:sz w:val="20"/>
          <w:szCs w:val="20"/>
          <w:color w:val="auto"/>
        </w:rPr>
        <w:tab/>
      </w:r>
      <w:r>
        <w:rPr>
          <w:rFonts w:ascii="Arial" w:cs="Arial" w:eastAsia="Arial" w:hAnsi="Arial"/>
          <w:sz w:val="13"/>
          <w:szCs w:val="13"/>
          <w:color w:val="auto"/>
        </w:rPr>
        <w:t>Washington, D.C.</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2893060</wp:posOffset>
            </wp:positionH>
            <wp:positionV relativeFrom="page">
              <wp:posOffset>183515</wp:posOffset>
            </wp:positionV>
            <wp:extent cx="178371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83715" cy="342900"/>
                    </a:xfrm>
                    <a:prstGeom prst="rect">
                      <a:avLst/>
                    </a:prstGeom>
                    <a:noFill/>
                  </pic:spPr>
                </pic:pic>
              </a:graphicData>
            </a:graphic>
          </wp:anchor>
        </w:drawing>
        <w:t>January 17,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opinion expressed below is subject to the qualifications that we express no opinion as to the applicability of, compliance with, or effect of</w:t>
      </w:r>
    </w:p>
    <w:p>
      <w:pPr>
        <w:spacing w:after="0" w:line="46" w:lineRule="exact"/>
        <w:rPr>
          <w:sz w:val="20"/>
          <w:szCs w:val="20"/>
          <w:color w:val="auto"/>
        </w:rPr>
      </w:pPr>
    </w:p>
    <w:p>
      <w:pPr>
        <w:ind w:right="40" w:firstLine="4"/>
        <w:spacing w:after="0" w:line="281" w:lineRule="auto"/>
        <w:tabs>
          <w:tab w:leader="none" w:pos="215"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bankruptcy, insolvency, reorganization, fraudulent transfer, fraudulent conveyance, moratorium or other similar law affecting the enforcement of creditors’ rights generally, (ii) general principals of equity (regardless of whether enforcement is considered in a proceeding in equity or at law) and</w:t>
      </w:r>
    </w:p>
    <w:p>
      <w:pPr>
        <w:spacing w:after="0" w:line="1" w:lineRule="exact"/>
        <w:rPr>
          <w:rFonts w:ascii="Arial" w:cs="Arial" w:eastAsia="Arial" w:hAnsi="Arial"/>
          <w:sz w:val="16"/>
          <w:szCs w:val="16"/>
          <w:color w:val="auto"/>
        </w:rPr>
      </w:pPr>
    </w:p>
    <w:p>
      <w:pPr>
        <w:ind w:left="320" w:hanging="316"/>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policy considerations that may limit the rights of parties to obtain certain remedies.</w:t>
      </w:r>
    </w:p>
    <w:p>
      <w:pPr>
        <w:spacing w:after="0" w:line="211" w:lineRule="exact"/>
        <w:rPr>
          <w:sz w:val="20"/>
          <w:szCs w:val="20"/>
          <w:color w:val="auto"/>
        </w:rPr>
      </w:pPr>
    </w:p>
    <w:p>
      <w:pPr>
        <w:ind w:right="460" w:firstLine="441"/>
        <w:spacing w:after="0" w:line="308" w:lineRule="auto"/>
        <w:rPr>
          <w:sz w:val="20"/>
          <w:szCs w:val="20"/>
          <w:color w:val="auto"/>
        </w:rPr>
      </w:pPr>
      <w:r>
        <w:rPr>
          <w:rFonts w:ascii="Arial" w:cs="Arial" w:eastAsia="Arial" w:hAnsi="Arial"/>
          <w:sz w:val="17"/>
          <w:szCs w:val="17"/>
          <w:color w:val="auto"/>
        </w:rPr>
        <w:t>Based upon and subject to the foregoing qualifications, assumptions and limitations and the further limitations set forth below, we are of the opinion that (i) the Notes are binding obligations of the Issuers and (ii) the Guarantees are binding obligations of the Guarantors.</w:t>
      </w:r>
    </w:p>
    <w:p>
      <w:pPr>
        <w:spacing w:after="0" w:line="14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We hereby consent to the filing of this opinion as Exhibit 5.1 to the Company’s Current Report on Form 8-K in connection with the sale of the Notes.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Our advice on every legal issue addressed in this letter is based exclusively on the internal law of the State of New York, the General Corporation Law of the State of Delaware, the Delaware Limited Liability Company Act, the Delaware Revised Uniform Limited Partnership Act and the California Uniform Limited Partnership Act and represents our opinion as to how that issue would be resolved were it to be considered by the highest court in the jurisdiction which enacted such law.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are not qualified to practice law in the State of Delaware and our opinions herein regarding Delaware law are limited solely to our review of provisions of the General Corporation Law of the State of Delaware, the Delaware Limited Liability Company Act and the Delaware Revised Uniform Limited Partnership Act, which we consider normally applicable to transactions of this type, without our having made any special investigation as to the applicability of another statute, law, rule or regulation. None of the opinions or other advice contained in this letter considers or covers any foreign or state securities (or “blue sky”) laws or regulations.</w:t>
      </w:r>
    </w:p>
    <w:p>
      <w:pPr>
        <w:spacing w:after="0" w:line="17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This opinion is limited to the specific issues addressed herein, and no opinion may be inferred or implied beyond that expressly stated herein. This opinion speaks only as of the date hereof and we assume no obligation to revise or supplement this opinion.</w:t>
      </w:r>
    </w:p>
    <w:p>
      <w:pPr>
        <w:spacing w:after="0" w:line="170"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We have also assumed that the execution and delivery of the Indenture, the Notes and the Guarantees and the performance by the Issuers and the Guarantors of their obligations thereunder do not and will not violate, conflict with or constitute a default under any agreement or instrument to which any Issuer or any of the Guarantors is bound.</w:t>
      </w:r>
    </w:p>
    <w:p>
      <w:pPr>
        <w:spacing w:after="0" w:line="181" w:lineRule="exact"/>
        <w:rPr>
          <w:sz w:val="20"/>
          <w:szCs w:val="20"/>
          <w:color w:val="auto"/>
        </w:rPr>
      </w:pPr>
    </w:p>
    <w:p>
      <w:pPr>
        <w:jc w:val="both"/>
        <w:ind w:right="460" w:firstLine="441"/>
        <w:spacing w:after="0" w:line="264" w:lineRule="auto"/>
        <w:rPr>
          <w:sz w:val="20"/>
          <w:szCs w:val="20"/>
          <w:color w:val="auto"/>
        </w:rPr>
      </w:pPr>
      <w:r>
        <w:rPr>
          <w:rFonts w:ascii="Arial" w:cs="Arial" w:eastAsia="Arial" w:hAnsi="Arial"/>
          <w:sz w:val="18"/>
          <w:szCs w:val="18"/>
          <w:color w:val="auto"/>
        </w:rPr>
        <w:t>This opinion is furnished to you in connection with the filing of the Registration Statement and in accordance with the requirements of Item 601(b)(5) of Regulation S-K promulgated under the Securities Act, and is not to be used, circulated, quoted or otherwise relied upon for any other purposes.</w:t>
      </w:r>
    </w:p>
    <w:p>
      <w:pPr>
        <w:spacing w:after="0" w:line="18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/s/ KIRKLAND &amp; ELLIS LLP</w:t>
      </w:r>
    </w:p>
    <w:p>
      <w:pPr>
        <w:spacing w:after="0" w:line="117"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KIRKLAND &amp; ELLIS LLP</w:t>
      </w:r>
    </w:p>
    <w:p>
      <w:pPr>
        <w:sectPr>
          <w:pgSz w:w="11900" w:h="16838" w:orient="portrait"/>
          <w:cols w:equalWidth="0" w:num="1">
            <w:col w:w="10980"/>
          </w:cols>
          <w:pgMar w:left="440" w:top="814" w:right="479" w:bottom="1440" w:gutter="0" w:footer="0" w:header="0"/>
        </w:sectPr>
      </w:pPr>
    </w:p>
    <w:bookmarkStart w:id="5" w:name="page6"/>
    <w:bookmarkEnd w:id="5"/>
    <w:p>
      <w:pPr>
        <w:jc w:val="right"/>
        <w:ind w:right="40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Guarantors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California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Falcon Cable Systems Company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Falcon Community Ventures I Limited Partnership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Alabanza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America’s Job Exchange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BHN Spectrum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Digital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Microwave of Montana,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LLC</w:t>
      </w:r>
    </w:p>
    <w:p>
      <w:pPr>
        <w:spacing w:after="0" w:line="9" w:lineRule="exact"/>
        <w:rPr>
          <w:sz w:val="20"/>
          <w:szCs w:val="20"/>
          <w:color w:val="auto"/>
        </w:rPr>
      </w:pPr>
    </w:p>
    <w:p>
      <w:pPr>
        <w:jc w:val="both"/>
        <w:ind w:right="8399" w:firstLine="4"/>
        <w:spacing w:after="0" w:line="265" w:lineRule="auto"/>
        <w:tabs>
          <w:tab w:leader="none" w:pos="285" w:val="left"/>
        </w:tabs>
        <w:numPr>
          <w:ilvl w:val="0"/>
          <w:numId w:val="4"/>
        </w:numPr>
        <w:rPr>
          <w:rFonts w:ascii="Arial" w:cs="Arial" w:eastAsia="Arial" w:hAnsi="Arial"/>
          <w:sz w:val="17"/>
          <w:szCs w:val="17"/>
          <w:color w:val="auto"/>
        </w:rPr>
      </w:pPr>
      <w:r>
        <w:rPr>
          <w:rFonts w:ascii="Arial" w:cs="Arial" w:eastAsia="Arial" w:hAnsi="Arial"/>
          <w:sz w:val="17"/>
          <w:szCs w:val="17"/>
          <w:color w:val="auto"/>
        </w:rPr>
        <w:t>Fiberlink, LLC CC Systems, LLC CC VI Fiberlink, LLC</w:t>
      </w:r>
    </w:p>
    <w:p>
      <w:pPr>
        <w:ind w:right="7619"/>
        <w:spacing w:after="0" w:line="250" w:lineRule="auto"/>
        <w:rPr>
          <w:rFonts w:ascii="Arial" w:cs="Arial" w:eastAsia="Arial" w:hAnsi="Arial"/>
          <w:sz w:val="17"/>
          <w:szCs w:val="17"/>
          <w:color w:val="auto"/>
        </w:rPr>
      </w:pPr>
      <w:r>
        <w:rPr>
          <w:rFonts w:ascii="Arial" w:cs="Arial" w:eastAsia="Arial" w:hAnsi="Arial"/>
          <w:sz w:val="18"/>
          <w:szCs w:val="18"/>
          <w:color w:val="auto"/>
        </w:rPr>
        <w:t>CC VI Operating Company, LLC CC VII Fiberlink, LLC</w:t>
      </w:r>
    </w:p>
    <w:p>
      <w:pPr>
        <w:ind w:right="8219"/>
        <w:spacing w:after="0" w:line="265" w:lineRule="auto"/>
        <w:rPr>
          <w:rFonts w:ascii="Arial" w:cs="Arial" w:eastAsia="Arial" w:hAnsi="Arial"/>
          <w:sz w:val="17"/>
          <w:szCs w:val="17"/>
          <w:color w:val="auto"/>
        </w:rPr>
      </w:pPr>
      <w:r>
        <w:rPr>
          <w:rFonts w:ascii="Arial" w:cs="Arial" w:eastAsia="Arial" w:hAnsi="Arial"/>
          <w:sz w:val="17"/>
          <w:szCs w:val="17"/>
          <w:color w:val="auto"/>
        </w:rPr>
        <w:t>CC VIII Fiberlink, LLC CC VIII Operating, LLC CCO Fiberlink, LLC CCO Holdings, LLC CCO NR Holdings, LLC CCO Transfers, LLC</w:t>
      </w:r>
    </w:p>
    <w:p>
      <w:pPr>
        <w:spacing w:after="0" w:line="1" w:lineRule="exact"/>
        <w:rPr>
          <w:rFonts w:ascii="Arial" w:cs="Arial" w:eastAsia="Arial" w:hAnsi="Arial"/>
          <w:sz w:val="17"/>
          <w:szCs w:val="17"/>
          <w:color w:val="auto"/>
        </w:rPr>
      </w:pPr>
    </w:p>
    <w:p>
      <w:pPr>
        <w:ind w:right="7159"/>
        <w:spacing w:after="0" w:line="283" w:lineRule="auto"/>
        <w:rPr>
          <w:rFonts w:ascii="Arial" w:cs="Arial" w:eastAsia="Arial" w:hAnsi="Arial"/>
          <w:sz w:val="17"/>
          <w:szCs w:val="17"/>
          <w:color w:val="auto"/>
        </w:rPr>
      </w:pPr>
      <w:r>
        <w:rPr>
          <w:rFonts w:ascii="Arial" w:cs="Arial" w:eastAsia="Arial" w:hAnsi="Arial"/>
          <w:sz w:val="16"/>
          <w:szCs w:val="16"/>
          <w:color w:val="auto"/>
        </w:rPr>
        <w:t>Charter Advanced Services (AL), LLC Charter Advanced Services (CA), LLC Charter Advanced Services (CO), LLC Charter Advanced Services (CT), LLC Charter Advanced Services (GA), LLC Charter Advanced Services (IL), LLC Charter Advanced Services (IN), LLC Charter Advanced Services (KY), LLC Charter Advanced Services (LA), LLC Charter Advanced Services (MA), LLC Charter Advanced Services (MD), LLC Charter Advanced Services (MI), LLC Charter Advanced Services (MN), LLC Charter Advanced Services (MO), LLC Charter Advanced Services (MS), LLC Charter Advanced Services (MT), LLC Charter Advanced Services (NC), LLC Charter Advanced Services (NE), LLC Charter Advanced Services (NH), LLC Charter Advanced Services (NV), LLC Charter Advanced Services (NY), LLC</w:t>
      </w:r>
    </w:p>
    <w:p>
      <w:pPr>
        <w:sectPr>
          <w:pgSz w:w="11900" w:h="16838" w:orient="portrait"/>
          <w:cols w:equalWidth="0" w:num="1">
            <w:col w:w="10019"/>
          </w:cols>
          <w:pgMar w:left="440" w:top="270"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Charter Advanced Services (OH),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(PA),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(SC),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(TN),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(TX),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(UT),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(WA),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(WI),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(WV),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(WY),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VIII (MI),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VIII (MN),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VIII (WI),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Cable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Charter Communications Entertainment 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Georgia,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Illinois,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Maryland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Nebraska,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Tennessee,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AR-CCVII,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CC VIII,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CT-CCO,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LA-CCO,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MA-CCO,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MS-CCVI,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NC-CCO,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NH-CCO,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NV-CCVII,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NY-CCO,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OH-CCO,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OR-CCVII,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SC-CCO,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TX-CCO,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VA-CCO,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VT-CCO,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WA-CCVII,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Helicon,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Leasing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Leasing of Wisconsin,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DukeNet Communications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DukeNet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Cable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Community Cable,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First Cable of the Southeast,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First,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Video Communications, L.P.</w:t>
      </w:r>
    </w:p>
    <w:p>
      <w:pPr>
        <w:sectPr>
          <w:pgSz w:w="11900" w:h="16838" w:orient="portrait"/>
          <w:cols w:equalWidth="0" w:num="1">
            <w:col w:w="10019"/>
          </w:cols>
          <w:pgMar w:left="440" w:top="274"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Helicon Partners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Blocker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Communications Company,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Communications Midwest,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Communications of Kentucky,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Kentucky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Kentucky Partners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Kentucky Partners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Midwest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Midwest,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Interactive Cable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Intrepid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Marcus Cable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Marcus Cable of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NaviSite LLC Oceanic Time Warner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Robin Media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Gulf Coast,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Mid-America,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Mobile,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Mobile Equipment,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Originals,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Originals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Pacific 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Security,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Southeast,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Helicon Group,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Business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(Arizona),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(Hawaii),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(Idaho),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(Illinois),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(Kansas),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(Kentucky),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(Maine),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Information Services (Massachusetts),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(Nebraska),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Information Services (New Hampshire),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Information Services (New Jersey),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Information Services (New Mexico)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(New York),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Information Services (North Carolina),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(Ohio),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Information Services (Pennsylvania),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Information Services (South Carolina),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Information Services (Tennessee), LLC</w:t>
      </w:r>
    </w:p>
    <w:p>
      <w:pPr>
        <w:sectPr>
          <w:pgSz w:w="11900" w:h="16838" w:orient="portrait"/>
          <w:cols w:equalWidth="0" w:num="1">
            <w:col w:w="10019"/>
          </w:cols>
          <w:pgMar w:left="440" w:top="274"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Warner Cable Information Services (Texas),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Information Services (Washington),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Time Warner Cable Information Services (West Virginia),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Information Services (Wisconsin),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Internet Holdings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Internet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Internet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New York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Northeast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Sports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Administration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Digital Phone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Media Blocker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News and Local Programming Holdco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News and Local Programming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Regional Sports Network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Regional Sports Network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SEE Holdco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Wireless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TWC/Charter Los Angeles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TWCIS Holdco LLC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of Colorado,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of Montana,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of Utah,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of Wyoming, LLC</w:t>
      </w:r>
    </w:p>
    <w:p>
      <w:pPr>
        <w:sectPr>
          <w:pgSz w:w="11900" w:h="16838" w:orient="portrait"/>
          <w:cols w:equalWidth="0" w:num="1">
            <w:col w:w="10019"/>
          </w:cols>
          <w:pgMar w:left="440" w:top="274"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CHARTER COMMUNICATIONS OPERATING, LLC</w:t>
      </w:r>
    </w:p>
    <w:p>
      <w:pPr>
        <w:spacing w:after="0" w:line="23"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CHARTER COMMUNICATIONS OPERATING CAPITAL CORP.</w:t>
      </w:r>
    </w:p>
    <w:p>
      <w:pPr>
        <w:spacing w:after="0" w:line="222"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$1,250,000,000 5.050% SENIOR SECURED NOTES DUE 2029</w:t>
      </w:r>
    </w:p>
    <w:p>
      <w:pPr>
        <w:spacing w:after="0" w:line="35"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$750,000,000 5.750% SENIOR SECURED NOTES DUE 2048</w:t>
      </w:r>
    </w:p>
    <w:p>
      <w:pPr>
        <w:spacing w:after="0" w:line="22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January 14, 2019</w:t>
      </w:r>
    </w:p>
    <w:p>
      <w:pPr>
        <w:sectPr>
          <w:pgSz w:w="11900" w:h="16838" w:orient="portrait"/>
          <w:cols w:equalWidth="0" w:num="1">
            <w:col w:w="10020"/>
          </w:cols>
          <w:pgMar w:left="1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14,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representatives of the 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Charter Communications Operating,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Charter Communications Operating Capital Corp., a Delaware corporation (“</w:t>
      </w:r>
      <w:r>
        <w:rPr>
          <w:rFonts w:ascii="Arial" w:cs="Arial" w:eastAsia="Arial" w:hAnsi="Arial"/>
          <w:sz w:val="17"/>
          <w:szCs w:val="17"/>
          <w:u w:val="single" w:color="auto"/>
          <w:color w:val="auto"/>
        </w:rPr>
        <w:t>CCO Capital</w:t>
      </w:r>
      <w:r>
        <w:rPr>
          <w:rFonts w:ascii="Arial" w:cs="Arial" w:eastAsia="Arial" w:hAnsi="Arial"/>
          <w:sz w:val="17"/>
          <w:szCs w:val="17"/>
          <w:color w:val="auto"/>
        </w:rPr>
        <w:t>” and, together with the Company, the “</w:t>
      </w:r>
      <w:r>
        <w:rPr>
          <w:rFonts w:ascii="Arial" w:cs="Arial" w:eastAsia="Arial" w:hAnsi="Arial"/>
          <w:sz w:val="17"/>
          <w:szCs w:val="17"/>
          <w:u w:val="single" w:color="auto"/>
          <w:color w:val="auto"/>
        </w:rPr>
        <w:t>Issuers</w:t>
      </w:r>
      <w:r>
        <w:rPr>
          <w:rFonts w:ascii="Arial" w:cs="Arial" w:eastAsia="Arial" w:hAnsi="Arial"/>
          <w:sz w:val="17"/>
          <w:szCs w:val="17"/>
          <w:color w:val="auto"/>
        </w:rPr>
        <w:t>”), propose, subject to the terms and conditions stated herein, to issue and sell to the underwriters named in Schedule I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(i) an aggregate of $1,250,000,000 principal amount of 5.050% Senior Secured Notes due 2029 (the “</w:t>
      </w:r>
      <w:r>
        <w:rPr>
          <w:rFonts w:ascii="Arial" w:cs="Arial" w:eastAsia="Arial" w:hAnsi="Arial"/>
          <w:sz w:val="17"/>
          <w:szCs w:val="17"/>
          <w:u w:val="single" w:color="auto"/>
          <w:color w:val="auto"/>
        </w:rPr>
        <w:t>2029 Notes</w:t>
      </w:r>
      <w:r>
        <w:rPr>
          <w:rFonts w:ascii="Arial" w:cs="Arial" w:eastAsia="Arial" w:hAnsi="Arial"/>
          <w:sz w:val="17"/>
          <w:szCs w:val="17"/>
          <w:color w:val="auto"/>
        </w:rPr>
        <w:t>”) and (ii) an aggregate of $750,000,000 principal amount of 5.750% Senior Secured Notes due 2048 (the “</w:t>
      </w:r>
      <w:r>
        <w:rPr>
          <w:rFonts w:ascii="Arial" w:cs="Arial" w:eastAsia="Arial" w:hAnsi="Arial"/>
          <w:sz w:val="17"/>
          <w:szCs w:val="17"/>
          <w:u w:val="single" w:color="auto"/>
          <w:color w:val="auto"/>
        </w:rPr>
        <w:t>2048 Notes</w:t>
      </w:r>
      <w:r>
        <w:rPr>
          <w:rFonts w:ascii="Arial" w:cs="Arial" w:eastAsia="Arial" w:hAnsi="Arial"/>
          <w:sz w:val="17"/>
          <w:szCs w:val="17"/>
          <w:color w:val="auto"/>
        </w:rPr>
        <w:t>” and, together with the 2029 Notes, the “</w:t>
      </w:r>
      <w:r>
        <w:rPr>
          <w:rFonts w:ascii="Arial" w:cs="Arial" w:eastAsia="Arial" w:hAnsi="Arial"/>
          <w:sz w:val="17"/>
          <w:szCs w:val="17"/>
          <w:u w:val="single" w:color="auto"/>
          <w:color w:val="auto"/>
        </w:rPr>
        <w:t>Notes</w:t>
      </w:r>
      <w:r>
        <w:rPr>
          <w:rFonts w:ascii="Arial" w:cs="Arial" w:eastAsia="Arial" w:hAnsi="Arial"/>
          <w:sz w:val="17"/>
          <w:szCs w:val="17"/>
          <w:color w:val="auto"/>
        </w:rPr>
        <w:t>”). Citigroup Global Markets Inc. and Deutsche Bank Securities Inc. have agreed to act as representatives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on behalf of the several Underwriters. The 2029 Notes will be issued pursuant to that certain Indenture dated as of July 23, 2015 (the “</w:t>
      </w:r>
      <w:r>
        <w:rPr>
          <w:rFonts w:ascii="Arial" w:cs="Arial" w:eastAsia="Arial" w:hAnsi="Arial"/>
          <w:sz w:val="17"/>
          <w:szCs w:val="17"/>
          <w:u w:val="single" w:color="auto"/>
          <w:color w:val="auto"/>
        </w:rPr>
        <w:t>Base Indenture</w:t>
      </w:r>
      <w:r>
        <w:rPr>
          <w:rFonts w:ascii="Arial" w:cs="Arial" w:eastAsia="Arial" w:hAnsi="Arial"/>
          <w:sz w:val="17"/>
          <w:szCs w:val="17"/>
          <w:color w:val="auto"/>
        </w:rPr>
        <w:t>”) among the Issuers and The Bank of New York Mellon Trust Company, N.A., as trustee (in such capacity, the “</w:t>
      </w:r>
      <w:r>
        <w:rPr>
          <w:rFonts w:ascii="Arial" w:cs="Arial" w:eastAsia="Arial" w:hAnsi="Arial"/>
          <w:sz w:val="17"/>
          <w:szCs w:val="17"/>
          <w:u w:val="single" w:color="auto"/>
          <w:color w:val="auto"/>
        </w:rPr>
        <w:t>Trustee</w:t>
      </w:r>
      <w:r>
        <w:rPr>
          <w:rFonts w:ascii="Arial" w:cs="Arial" w:eastAsia="Arial" w:hAnsi="Arial"/>
          <w:sz w:val="17"/>
          <w:szCs w:val="17"/>
          <w:color w:val="auto"/>
        </w:rPr>
        <w:t>”) and as collateral agent (in such capacity,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as supplemented by the twelfth supplemental indenture to be dated as of January 17, 2019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w:t>
      </w:r>
      <w:r>
        <w:rPr>
          <w:rFonts w:ascii="Arial" w:cs="Arial" w:eastAsia="Arial" w:hAnsi="Arial"/>
          <w:sz w:val="17"/>
          <w:szCs w:val="17"/>
          <w:u w:val="single" w:color="auto"/>
          <w:color w:val="auto"/>
        </w:rPr>
        <w:t>Twelfth Supplemental Indenture</w:t>
      </w:r>
      <w:r>
        <w:rPr>
          <w:rFonts w:ascii="Arial" w:cs="Arial" w:eastAsia="Arial" w:hAnsi="Arial"/>
          <w:sz w:val="17"/>
          <w:szCs w:val="17"/>
          <w:color w:val="auto"/>
        </w:rPr>
        <w:t>”) among the Issuers, the Guarantors (as defined below), the Trustee and the Collateral Agent. The 2048 Notes will be issued pursuant to an officers’ certificate and an authentication order, in each case, to be dated as of the Time of Delivery (as defined below) (collectively, the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to be delivered in accordance with the Base Indenture, as supplemented by the ninth supplemental indenture dated as of April 17, 2018 (the “</w:t>
      </w:r>
      <w:r>
        <w:rPr>
          <w:rFonts w:ascii="Arial" w:cs="Arial" w:eastAsia="Arial" w:hAnsi="Arial"/>
          <w:sz w:val="17"/>
          <w:szCs w:val="17"/>
          <w:u w:val="single" w:color="auto"/>
          <w:color w:val="auto"/>
        </w:rPr>
        <w:t>Ninth Supplemental Indenture</w:t>
      </w:r>
      <w:r>
        <w:rPr>
          <w:rFonts w:ascii="Arial" w:cs="Arial" w:eastAsia="Arial" w:hAnsi="Arial"/>
          <w:sz w:val="17"/>
          <w:szCs w:val="17"/>
          <w:color w:val="auto"/>
        </w:rPr>
        <w:t>” and, together with the Base Indenture and the Twelfth Supplemental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among the Issuers, the Guarantors, the Trustee and the Collateral Agent. CCO Holdings, LLC, a Delaware limited liability company (the “</w:t>
      </w:r>
      <w:r>
        <w:rPr>
          <w:rFonts w:ascii="Arial" w:cs="Arial" w:eastAsia="Arial" w:hAnsi="Arial"/>
          <w:sz w:val="17"/>
          <w:szCs w:val="17"/>
          <w:u w:val="single" w:color="auto"/>
          <w:color w:val="auto"/>
        </w:rPr>
        <w:t>Parent Guarantor</w:t>
      </w:r>
      <w:r>
        <w:rPr>
          <w:rFonts w:ascii="Arial" w:cs="Arial" w:eastAsia="Arial" w:hAnsi="Arial"/>
          <w:sz w:val="17"/>
          <w:szCs w:val="17"/>
          <w:color w:val="auto"/>
        </w:rPr>
        <w:t>”) and each subsidiary of the Company (other than CCO Capital) that is a guarantor under the Company’s Amended and Restated Credit Agreement, dated as of December 21, 2017, as further amended, restated, amended and restated, supplemented or oth-</w:t>
      </w:r>
    </w:p>
    <w:p>
      <w:pPr>
        <w:sectPr>
          <w:pgSz w:w="11900" w:h="16838" w:orient="portrait"/>
          <w:cols w:equalWidth="0" w:num="1">
            <w:col w:w="11020"/>
          </w:cols>
          <w:pgMar w:left="440" w:top="274" w:right="439" w:bottom="1440" w:gutter="0" w:footer="0" w:header="0"/>
        </w:sectPr>
      </w:pPr>
    </w:p>
    <w:bookmarkStart w:id="11" w:name="page12"/>
    <w:bookmarkEnd w:id="11"/>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(which, as of the date hereof, are the subsidiaries listed on Schedule II hereto) (together with the Parent Guarantor, the “</w:t>
      </w:r>
      <w:r>
        <w:rPr>
          <w:rFonts w:ascii="Arial" w:cs="Arial" w:eastAsia="Arial" w:hAnsi="Arial"/>
          <w:sz w:val="18"/>
          <w:szCs w:val="18"/>
          <w:u w:val="single" w:color="auto"/>
          <w:color w:val="auto"/>
        </w:rPr>
        <w:t>Guarantors</w:t>
      </w:r>
      <w:r>
        <w:rPr>
          <w:rFonts w:ascii="Arial" w:cs="Arial" w:eastAsia="Arial" w:hAnsi="Arial"/>
          <w:sz w:val="18"/>
          <w:szCs w:val="18"/>
          <w:color w:val="auto"/>
        </w:rPr>
        <w:t>”) will guarantee (the “</w:t>
      </w:r>
      <w:r>
        <w:rPr>
          <w:rFonts w:ascii="Arial" w:cs="Arial" w:eastAsia="Arial" w:hAnsi="Arial"/>
          <w:sz w:val="18"/>
          <w:szCs w:val="18"/>
          <w:u w:val="single" w:color="auto"/>
          <w:color w:val="auto"/>
        </w:rPr>
        <w:t>Guarantees</w:t>
      </w:r>
      <w:r>
        <w:rPr>
          <w:rFonts w:ascii="Arial" w:cs="Arial" w:eastAsia="Arial" w:hAnsi="Arial"/>
          <w:sz w:val="18"/>
          <w:szCs w:val="18"/>
          <w:color w:val="auto"/>
        </w:rPr>
        <w:t>” and, together with the Notes, the “</w:t>
      </w:r>
      <w:r>
        <w:rPr>
          <w:rFonts w:ascii="Arial" w:cs="Arial" w:eastAsia="Arial" w:hAnsi="Arial"/>
          <w:sz w:val="18"/>
          <w:szCs w:val="18"/>
          <w:u w:val="single" w:color="auto"/>
          <w:color w:val="auto"/>
        </w:rPr>
        <w:t>Securities</w:t>
      </w:r>
      <w:r>
        <w:rPr>
          <w:rFonts w:ascii="Arial" w:cs="Arial" w:eastAsia="Arial" w:hAnsi="Arial"/>
          <w:sz w:val="18"/>
          <w:szCs w:val="18"/>
          <w:color w:val="auto"/>
        </w:rPr>
        <w:t>”) the obligations of the Issuers under the Indenture.</w:t>
      </w:r>
    </w:p>
    <w:p>
      <w:pPr>
        <w:spacing w:after="0" w:line="18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Issuers previously entered into an underwriting agreement with the representatives of the several underwriters named therein, dated as of April 3, 2018 (the “</w:t>
      </w:r>
      <w:r>
        <w:rPr>
          <w:rFonts w:ascii="Arial" w:cs="Arial" w:eastAsia="Arial" w:hAnsi="Arial"/>
          <w:sz w:val="18"/>
          <w:szCs w:val="18"/>
          <w:u w:val="single" w:color="auto"/>
          <w:color w:val="auto"/>
        </w:rPr>
        <w:t>April 2018 Underwriting Agreement</w:t>
      </w:r>
      <w:r>
        <w:rPr>
          <w:rFonts w:ascii="Arial" w:cs="Arial" w:eastAsia="Arial" w:hAnsi="Arial"/>
          <w:sz w:val="18"/>
          <w:szCs w:val="18"/>
          <w:color w:val="auto"/>
        </w:rPr>
        <w:t>”) and have previously issued $1,700,000,000 in aggregate principal amount of their 5.750% Senior Secured Notes due 2048 under the Indenture (the “</w:t>
      </w:r>
      <w:r>
        <w:rPr>
          <w:rFonts w:ascii="Arial" w:cs="Arial" w:eastAsia="Arial" w:hAnsi="Arial"/>
          <w:sz w:val="18"/>
          <w:szCs w:val="18"/>
          <w:u w:val="single" w:color="auto"/>
          <w:color w:val="auto"/>
        </w:rPr>
        <w:t>Existing Notes</w:t>
      </w:r>
      <w:r>
        <w:rPr>
          <w:rFonts w:ascii="Arial" w:cs="Arial" w:eastAsia="Arial" w:hAnsi="Arial"/>
          <w:sz w:val="18"/>
          <w:szCs w:val="18"/>
          <w:color w:val="auto"/>
        </w:rPr>
        <w:t>”). The 2048 Notes, when issued, will constitute an offering of “Additional Notes” (as such term is defined in the Indenture) under the Indenture. Except as otherwise described in the Time of Sale Information and the Prospectus Supplement (each as defined below), the 2048 Notes will have identical terms to the Existing Notes and will be treated as a single class of notes for all purposes under the Indenture. For the avoidance of doubt, this Underwriting Agreement does not amend or supersede the April 2018 Underwriting Agreement.</w:t>
      </w:r>
    </w:p>
    <w:p>
      <w:pPr>
        <w:spacing w:after="0" w:line="189"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The Issuers and the Guarantors have prepared and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 registration statement on Form S-3 (File No. 333-222241), as amended, including a prospectus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The Issuers have also filed, or propose to file, with the Commission pursuant to Rule 424 under the Securities Act a prospectus supplement relating to the Securities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Such registration statement, as amended at the time it became effective, including the information, if any, deemed pursuant to Rule 430A, 430B or 430C under the Securities Act to be part of the registration statement at the time of its effectiveness (“</w:t>
      </w:r>
      <w:r>
        <w:rPr>
          <w:rFonts w:ascii="Arial" w:cs="Arial" w:eastAsia="Arial" w:hAnsi="Arial"/>
          <w:sz w:val="16"/>
          <w:szCs w:val="16"/>
          <w:u w:val="single" w:color="auto"/>
          <w:color w:val="auto"/>
        </w:rPr>
        <w:t>Rule 430 Information</w:t>
      </w:r>
      <w:r>
        <w:rPr>
          <w:rFonts w:ascii="Arial" w:cs="Arial" w:eastAsia="Arial" w:hAnsi="Arial"/>
          <w:sz w:val="16"/>
          <w:szCs w:val="16"/>
          <w:color w:val="auto"/>
        </w:rPr>
        <w:t>”), is referred to herein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as used herein, the term “Prospectus” means the Base Prospectus as supplemented by the Prospectus Supplement in the form first used (or made available upon request of purchasers pursuant to Rule 173 under the Securities Act) in connection with the confirmation of sales of the Securities and the term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means the preliminary prospectus supplement dated January 14, 2019 specifically relating to the Securities together with the Base Prospectus. Any reference in this Agreement to the Registration Statement, the Base Prospectus, the Preliminary Prospectus or the Prospectus shall be deemed to refer to and include the documents incorporated by reference therein pursuant to Item 12 of Form S-3 under the Securities Act, as of the effective date of the Registration Statement or the date of such Base Prospectus, Preliminary Prospectus or the Prospectus, as the case may be, and any reference to “amend,” “amendment” or “supplement”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16"/>
          <w:szCs w:val="16"/>
          <w:u w:val="single" w:color="auto"/>
          <w:color w:val="auto"/>
        </w:rPr>
        <w:t>Exchange Act</w:t>
      </w:r>
      <w:r>
        <w:rPr>
          <w:rFonts w:ascii="Arial" w:cs="Arial" w:eastAsia="Arial" w:hAnsi="Arial"/>
          <w:sz w:val="16"/>
          <w:szCs w:val="16"/>
          <w:color w:val="auto"/>
        </w:rPr>
        <w:t>”) that are deemed to be incorporated by reference therein. Capitalized terms used but not defined herein shall have the meanings given to such terms in the Registration Statement and the Prospectus.</w:t>
      </w:r>
    </w:p>
    <w:p>
      <w:pPr>
        <w:spacing w:after="0" w:line="178"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Pursuant to the Security Documents, the Securities will be secured by a first priority lien on the Collateral (as defined in the Time of Sale Information (as defined below)), subject to certain exceptions and otherwise in accordance with the terms of the Indenture and the Security Documents. The Notes will have the benefit of certain security as provided in the Security Documents. The rights of the holders of the Notes with respect to the Collateral shall be further governed by the Intercreditor Agreement dated as of May 18, 2016 among the Company, the other grantors party thereto, the Collateral Agent and the collateral agent for the lenders under the Credit Agreement (the “</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w:t>
      </w:r>
    </w:p>
    <w:p>
      <w:pPr>
        <w:spacing w:after="0" w:line="17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At or prior to the time when sales of the Securities were first made on January 14, 2019 at 5:40 p.m. New York City time (the “</w:t>
      </w:r>
      <w:r>
        <w:rPr>
          <w:rFonts w:ascii="Arial" w:cs="Arial" w:eastAsia="Arial" w:hAnsi="Arial"/>
          <w:sz w:val="18"/>
          <w:szCs w:val="18"/>
          <w:u w:val="single" w:color="auto"/>
          <w:color w:val="auto"/>
        </w:rPr>
        <w:t>Time of Sale</w:t>
      </w:r>
      <w:r>
        <w:rPr>
          <w:rFonts w:ascii="Arial" w:cs="Arial" w:eastAsia="Arial" w:hAnsi="Arial"/>
          <w:sz w:val="18"/>
          <w:szCs w:val="18"/>
          <w:color w:val="auto"/>
        </w:rPr>
        <w:t>”), the following information shall have been prepared (collectively,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Securities Act) listed on Annex A hereto, if any, as constituting part of the Time of Sale Information.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2" w:name="page13"/>
    <w:bookmarkEnd w:id="12"/>
    <w:p>
      <w:pPr>
        <w:jc w:val="both"/>
        <w:ind w:right="1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the Securities, the Indenture (including the Guarantees), the Security Documents (as defined in the Time of Sale Information), the Intercreditor Agreement and the related agreements and instruments to which the Issuers, the Guarantors or any of their respective subsidiaries is a signatory are referred to herein as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w:t>
      </w:r>
    </w:p>
    <w:p>
      <w:pPr>
        <w:spacing w:after="0" w:line="181" w:lineRule="exact"/>
        <w:rPr>
          <w:sz w:val="20"/>
          <w:szCs w:val="20"/>
          <w:color w:val="auto"/>
        </w:rPr>
      </w:pPr>
    </w:p>
    <w:p>
      <w:pPr>
        <w:ind w:firstLine="444"/>
        <w:spacing w:after="0" w:line="277" w:lineRule="auto"/>
        <w:tabs>
          <w:tab w:leader="none" w:pos="756"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Issuers and the Guarantors</w:t>
      </w:r>
      <w:r>
        <w:rPr>
          <w:rFonts w:ascii="Arial" w:cs="Arial" w:eastAsia="Arial" w:hAnsi="Arial"/>
          <w:sz w:val="18"/>
          <w:szCs w:val="18"/>
          <w:color w:val="auto"/>
        </w:rPr>
        <w:t>. Each of the Issuers and the Guarantors, jointly and severally, represents and warrants to, and agrees with, each of the Underwriters that:</w:t>
      </w:r>
    </w:p>
    <w:p>
      <w:pPr>
        <w:spacing w:after="0" w:line="62" w:lineRule="exact"/>
        <w:rPr>
          <w:rFonts w:ascii="Arial" w:cs="Arial" w:eastAsia="Arial" w:hAnsi="Arial"/>
          <w:sz w:val="18"/>
          <w:szCs w:val="18"/>
          <w:color w:val="auto"/>
        </w:rPr>
      </w:pPr>
    </w:p>
    <w:p>
      <w:pPr>
        <w:ind w:left="440" w:firstLine="428"/>
        <w:spacing w:after="0" w:line="253" w:lineRule="auto"/>
        <w:tabs>
          <w:tab w:leader="none" w:pos="1243"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No order preventing or suspending the use of the Preliminary Prospectus has been issued by the Commission, and the Preliminary Prospectus, as of its date, the Time of Sale Information, at the Time of Sale and at the Time of Delivery, and the Prospectus, as of its date and at the Time of Delivery, and any amendments or supplements thereto do not and will not contain an untrue statement of a material fact required to be stated therein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representation and warranty shall not apply to any statements or omissions made in reliance upon and in conformity with information relating to the Underwriters furnished in writing to the Issuers by or on behalf of an Underwriter through Citigroup Global Markets Inc. and Deutsche Bank Securities Inc. expressly for use in the Preliminary Prospectus, the Time of Sale Information or the Prospectus.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86" w:lineRule="exact"/>
        <w:rPr>
          <w:rFonts w:ascii="Arial" w:cs="Arial" w:eastAsia="Arial" w:hAnsi="Arial"/>
          <w:sz w:val="18"/>
          <w:szCs w:val="18"/>
          <w:color w:val="auto"/>
        </w:rPr>
      </w:pPr>
    </w:p>
    <w:p>
      <w:pPr>
        <w:ind w:left="440" w:firstLine="428"/>
        <w:spacing w:after="0" w:line="285" w:lineRule="auto"/>
        <w:tabs>
          <w:tab w:leader="none" w:pos="1253" w:val="left"/>
        </w:tabs>
        <w:numPr>
          <w:ilvl w:val="1"/>
          <w:numId w:val="5"/>
        </w:numPr>
        <w:rPr>
          <w:rFonts w:ascii="Arial" w:cs="Arial" w:eastAsia="Arial" w:hAnsi="Arial"/>
          <w:sz w:val="16"/>
          <w:szCs w:val="16"/>
          <w:color w:val="auto"/>
        </w:rPr>
      </w:pPr>
      <w:r>
        <w:rPr>
          <w:rFonts w:ascii="Arial" w:cs="Arial" w:eastAsia="Arial" w:hAnsi="Arial"/>
          <w:sz w:val="16"/>
          <w:szCs w:val="16"/>
          <w:color w:val="auto"/>
        </w:rPr>
        <w:t>None of the Issuers or any of the Guarantors (including their respective agents and representatives, other than the Underwriters in their capacity as such) has prepared, made, used, authorized, approved or referred to and none of the Issuers or any of the Guarantors will prepare, make, use, authorize, approve or refer to any “written communication” (as defined in Rule 405 under the Securities Act) that constitutes an offer to sell or solicitation of an offer to buy the Securities (each such communication by the Issuers, the Guarantors or their agents and representatives (other than a communication referred to in clauses (i), (ii) and (iii) below) an “</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xml:space="preserve">”) other than (i) any document not constituting a prospectus pursuant to Section 2(a)(10)(a) of the Securities Act or Rule 134 under the Securities Act, (ii) the Preliminary Prospectus, (iii) the Prospectus, (iv) the documents listed on Annex A hereto, which constitute part of the Time of Sale Information, and (v) any electronic road show or other written communications, in each case approved in writing in advance by the Representatives. Each such Issuer Free Writing Prospectus complied in all material respects with the Securities Act, has been or will be (within the time period specified in Rule 433) filed in accordance with the Securities Act (to the extent required thereby) and, when taken together with the Time of Sale Information, did not, and at the Time of Delivery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Issuers and the Guarantors make no representation and warranty with respect to any statements or omissions made in each such Issuer Free Writing Prospectus in reliance upon and in conformity with information relating to any Underwriter furnished to the Issuers or the Guarantors in writing by such Underwriter through Citigroup Global Markets Inc. and Deutsche Bank Securities Inc. expressly for use in any Issuer Free Writing Prospectus. The Time of Sale Information, did not, and at the Time of Delivery,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Issuers and the Guarantors make no representation and warranty with respect to any statements or omissions made in the Time of Sale Information in reliance upon and in conformity with information relating to any Underwriter furnished to the Issuers by such Underwriter through Citigroup Global Markets Inc. and Deutsche Bank Securities Inc. expressly for use in the Time of Sale Information.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3" w:name="page14"/>
    <w:bookmarkEnd w:id="13"/>
    <w:p>
      <w:pPr>
        <w:ind w:firstLine="428"/>
        <w:spacing w:after="0" w:line="285"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Issuers or any of their affiliates. No order suspending the effectiveness of the Registration Statement has been issued by the Commission and no proceeding for that purpose or pursuant to Section 8A of the Securities Act against the Guarantors, the Issuers or related to the offering has been initiated 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u w:val="single" w:color="auto"/>
          <w:color w:val="auto"/>
        </w:rPr>
        <w:t>Trust Indenture Act</w:t>
      </w:r>
      <w:r>
        <w:rPr>
          <w:rFonts w:ascii="Arial" w:cs="Arial" w:eastAsia="Arial" w:hAnsi="Arial"/>
          <w:sz w:val="16"/>
          <w:szCs w:val="16"/>
          <w:color w:val="auto"/>
        </w:rPr>
        <w:t>”), and did not and will not contain any untrue statement of a material fact or omit to state a material fact necessary in order to make the statements therein, in the light of the circumstances under which they were made, not misleading; and as of the date of the Prospectus and any amendment or supplement thereto and as of the Time of Delivery, the Prospectus will not contain any untrue statement of a material fact or omit to state a material fact necessary in order to make the statements therein, in the light of the circumstances under which they were made, not misleading; provided that the Issuers and the Guarantors make no representation and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Issuers in writing by such Underwriter through Citigroup Global Markets Inc. and Deutsche Bank Securities Inc. expressly for use in the Registration Statement and the Prospectus and any amendment or supplement thereto;</w:t>
      </w:r>
    </w:p>
    <w:p>
      <w:pPr>
        <w:spacing w:after="0" w:line="69" w:lineRule="exact"/>
        <w:rPr>
          <w:rFonts w:ascii="Arial" w:cs="Arial" w:eastAsia="Arial" w:hAnsi="Arial"/>
          <w:sz w:val="16"/>
          <w:szCs w:val="16"/>
          <w:color w:val="auto"/>
        </w:rPr>
      </w:pPr>
    </w:p>
    <w:p>
      <w:pPr>
        <w:ind w:firstLine="428"/>
        <w:spacing w:after="0" w:line="288" w:lineRule="auto"/>
        <w:tabs>
          <w:tab w:leader="none" w:pos="813"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None of the Issuers, the Guarantors or any of their respective subsidiaries has sustained since the date of the latest respective audited financial statements included or incorporated by reference in each of the Registration Statement, the Time of Sale Information and the Prospectus any material loss or interference with its business from fire, explosion, flood or other calamity, whether or not covered by insurance, or from any court or governmental action, order or decree, otherwise than as set forth or contemplated in each of the Registration Statement, the Time of Sale Information and the Prospectus; and, since the respective dates as of which information is given in each of the Registration Statement, the Time of Sale Information and the Prospectus, there has not been any change in the capital stock, limited liability company interests or partnership interests, as the case may be, or long-term debt of the Issuers, the Guarantors or any of their respective subsidiaries or any material adverse change, or any development involving a prospective material adverse change, in or affecting the general affairs, management, financial position, members’ or stockholders’ equity or results of operations of the Issuers, the Guarantors and their respective subsidiaries, taken as a whole, otherwise than as set forth or contemplated in each of the Registration Statement, the Time of Sale Information and the Prospectus;</w:t>
      </w:r>
    </w:p>
    <w:p>
      <w:pPr>
        <w:spacing w:after="0" w:line="61" w:lineRule="exact"/>
        <w:rPr>
          <w:rFonts w:ascii="Arial" w:cs="Arial" w:eastAsia="Arial" w:hAnsi="Arial"/>
          <w:sz w:val="16"/>
          <w:szCs w:val="16"/>
          <w:color w:val="auto"/>
        </w:rPr>
      </w:pPr>
    </w:p>
    <w:p>
      <w:pPr>
        <w:ind w:right="160" w:firstLine="428"/>
        <w:spacing w:after="0" w:line="259" w:lineRule="auto"/>
        <w:tabs>
          <w:tab w:leader="none" w:pos="80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 Issuers, the Guarantors and their respective subsidiaries has good and valid title to all personal property owned by it or reflected as owned by it in the financial statements included in each of the Registration Statement, the Time of Sale Information and the Prospectus, in each case free and clear of all liens, encumbrances and defects except such as are described in each of the Registration Statement, the Time of Sale Information and the Prospectus or</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such as do not materially affect the value of such property and do not interfere with the use made and proposed to be made of such property by the Issuers, the Guarantors and their respective subsidiaries; and any real property and buildings held under lease by the Issuers, the Guarantors and their respective subsidiaries are held by them under valid, subsisting and enforceable leases with such exceptions as are not material and do not interfere with the use made and proposed to be made of such property and buildings by the Issuers, the Guarantors and their respective subsidiaries;</w:t>
      </w:r>
    </w:p>
    <w:p>
      <w:pPr>
        <w:spacing w:after="0" w:line="80" w:lineRule="exact"/>
        <w:rPr>
          <w:sz w:val="20"/>
          <w:szCs w:val="20"/>
          <w:color w:val="auto"/>
        </w:rPr>
      </w:pPr>
    </w:p>
    <w:p>
      <w:pPr>
        <w:ind w:right="100" w:firstLine="428"/>
        <w:spacing w:after="0" w:line="291" w:lineRule="auto"/>
        <w:tabs>
          <w:tab w:leader="none" w:pos="783"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of the Issuers, the Guarantors and their respective subsidiaries has been duly formed or incorporated, as the case may be, and is validly existing as a limited liability company or corporation, as the case may be, under the laws of the state of its incorporation or formation, as applicable, and has been duly qualified as a foreign corporation or limited liability company, as the case may be, for the transaction of business in and is in good standing under the laws of each other jurisdiction in which it owns or leases properties or conducts any business so as to require such qualification; and is not subject to liability or disability by reason of the failure to be so qualified in any such jurisdiction, except such as would not, individually or in the aggregate, have a material adverse effect on the current or future financial position, members’ or stockholders’ equity or results of operations of the Issuers, the Guarantors and their respective subsidiaries,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firstLine="428"/>
        <w:spacing w:after="0" w:line="273" w:lineRule="auto"/>
        <w:tabs>
          <w:tab w:leader="none" w:pos="803"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the outstanding ownership interests of the Issuers and the Guarantors have been duly and validly authorized and issued and are fully paid and non-assessable; and all the outstanding capital stock, limited liability company interests or partnership interests, as the case may be, of each “significant subsidiary” (as such term is defined in Rule 1-02 of Regulation S-X) of the Parent Guarantor (each a “</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have been duly and validly authorized and issued, are fully paid and non-assessable and (except as otherwise set forth in the Time of Sale Information and the Prospectus) are owned directly or indirectly by the Parent Guarantor, as applicable, free and clear of all liens, encumbrances, equities or claims other than the liens securing the Credit Agreement;</w:t>
      </w:r>
    </w:p>
    <w:p>
      <w:pPr>
        <w:spacing w:after="0" w:line="70" w:lineRule="exact"/>
        <w:rPr>
          <w:rFonts w:ascii="Arial" w:cs="Arial" w:eastAsia="Arial" w:hAnsi="Arial"/>
          <w:sz w:val="17"/>
          <w:szCs w:val="17"/>
          <w:color w:val="auto"/>
        </w:rPr>
      </w:pPr>
    </w:p>
    <w:p>
      <w:pPr>
        <w:ind w:left="820" w:hanging="39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Issuers and the Guarantors;</w:t>
      </w:r>
    </w:p>
    <w:p>
      <w:pPr>
        <w:spacing w:after="0" w:line="117" w:lineRule="exact"/>
        <w:rPr>
          <w:rFonts w:ascii="Arial" w:cs="Arial" w:eastAsia="Arial" w:hAnsi="Arial"/>
          <w:sz w:val="18"/>
          <w:szCs w:val="18"/>
          <w:color w:val="auto"/>
        </w:rPr>
      </w:pPr>
    </w:p>
    <w:p>
      <w:pPr>
        <w:ind w:firstLine="428"/>
        <w:spacing w:after="0" w:line="277" w:lineRule="auto"/>
        <w:tabs>
          <w:tab w:leader="none" w:pos="77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Issuers and the Guarantors has all necessary corporate, limited liability company or limited partnership power and authority, as appropriate, to execute and deliver this Agreement, and to perform all of its obligations hereunder;</w:t>
      </w:r>
    </w:p>
    <w:p>
      <w:pPr>
        <w:spacing w:after="0" w:line="62" w:lineRule="exact"/>
        <w:rPr>
          <w:rFonts w:ascii="Arial" w:cs="Arial" w:eastAsia="Arial" w:hAnsi="Arial"/>
          <w:sz w:val="18"/>
          <w:szCs w:val="18"/>
          <w:color w:val="auto"/>
        </w:rPr>
      </w:pPr>
    </w:p>
    <w:p>
      <w:pPr>
        <w:ind w:right="120" w:firstLine="428"/>
        <w:spacing w:after="0" w:line="264" w:lineRule="auto"/>
        <w:tabs>
          <w:tab w:leader="none" w:pos="77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Issuers and the Guarantors has taken all necessary limited liability company action, limited partnership action or corporate action to authorize the issuance of the Securities and the Guarantees, as applicable, and the execution, delivery and performance of this Agreement, the Indenture and the Officers’ Certificate;</w:t>
      </w:r>
    </w:p>
    <w:p>
      <w:pPr>
        <w:spacing w:after="0" w:line="73" w:lineRule="exact"/>
        <w:rPr>
          <w:rFonts w:ascii="Arial" w:cs="Arial" w:eastAsia="Arial" w:hAnsi="Arial"/>
          <w:sz w:val="18"/>
          <w:szCs w:val="18"/>
          <w:color w:val="auto"/>
        </w:rPr>
      </w:pPr>
    </w:p>
    <w:p>
      <w:pPr>
        <w:jc w:val="both"/>
        <w:ind w:right="80" w:firstLine="428"/>
        <w:spacing w:after="0" w:line="297" w:lineRule="auto"/>
        <w:tabs>
          <w:tab w:leader="none" w:pos="81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Securities have been duly authorized and, when executed by the Issuers and authenticated by the Trustee in accordance with the provisions of the Indenture and when delivered to, and paid for, by the Underwriters in accordance with the terms of this Agreement, will have been duly executed, authenticated, issued and delivered and will constitute valid and legally binding obligations of the Issuers enforceable against them in accordance with the terms of the Indenture, and will be entitled to the benefits of the Indenture, subject, as to enforcement, to bankruptcy, insolvency, reorganization and other laws of general applicability relating to or affecting creditors’ rights and to general equity principles;</w:t>
      </w:r>
    </w:p>
    <w:p>
      <w:pPr>
        <w:spacing w:after="0" w:line="9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80" w:top="274" w:right="439" w:bottom="1440" w:gutter="0" w:footer="0" w:header="0"/>
        </w:sectPr>
      </w:pPr>
    </w:p>
    <w:bookmarkStart w:id="15" w:name="page16"/>
    <w:bookmarkEnd w:id="15"/>
    <w:p>
      <w:pPr>
        <w:ind w:right="80" w:firstLine="428"/>
        <w:spacing w:after="0" w:line="253" w:lineRule="auto"/>
        <w:tabs>
          <w:tab w:leader="none" w:pos="77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Base Indenture (i) as supplemented by the Ninth Supplemental Indenture has been duly authorized by the Issuers and the Guarantors and (assuming the due authorization, execution and delivery thereof by the Trustee and the Collateral Agent) constitutes a valid and legally binding instrument, enforceable against the Issuers and the Guarantors in accordance with its terms, subject, as to enforcement, to bankruptcy, insolvency, reorganization and other laws of general applicability relating to or affecting creditors’ rights and to general equity principles and (ii) as supplemented by the Twelfth Supplemental Indenture has been duly authorized by the Issuers and the Guarantors, and when executed and delivered by the Issuers and the Guarantors (assuming the due authorization, execution and delivery thereof by the Trustee and the Collateral Agent), will constitute a valid and legally binding instrument, enforceable against the Issuers and the Guarantors in accordance with its terms, subject, as to enforcement, to bankruptcy, insolvency, reorganization and other laws of general applicability relating to or affecting creditors’ rights and to general equity principles; the Indenture meets the requirements for qualification under the Trust Indenture Act; and the Indenture conforms or will conform, as applicable, in all material respects to the descriptions thereof in the Time of Sale Information and the Prospectus;</w:t>
      </w:r>
    </w:p>
    <w:p>
      <w:pPr>
        <w:spacing w:after="0" w:line="84" w:lineRule="exact"/>
        <w:rPr>
          <w:rFonts w:ascii="Arial" w:cs="Arial" w:eastAsia="Arial" w:hAnsi="Arial"/>
          <w:sz w:val="18"/>
          <w:szCs w:val="18"/>
          <w:color w:val="auto"/>
        </w:rPr>
      </w:pPr>
    </w:p>
    <w:p>
      <w:pPr>
        <w:ind w:right="20" w:firstLine="428"/>
        <w:spacing w:after="0" w:line="25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documents or sections of documents incorporated by reference into each of the Registration Statement, the Time of Sale Information and the Prospectus complied, as of the Time of Sale, in all material respects with all applicable requirements of the Securities Act and the Exchange Act and when read together with the Time of Sale Information and the Prospectus, will not contain an untrue statement of a material fact or omit to state a material fact necessary in order to make the statements therein, in the light of the circumstances under which they were made, not misleading;</w:t>
      </w:r>
    </w:p>
    <w:p>
      <w:pPr>
        <w:spacing w:after="0" w:line="80" w:lineRule="exact"/>
        <w:rPr>
          <w:rFonts w:ascii="Arial" w:cs="Arial" w:eastAsia="Arial" w:hAnsi="Arial"/>
          <w:sz w:val="18"/>
          <w:szCs w:val="18"/>
          <w:color w:val="auto"/>
        </w:rPr>
      </w:pPr>
    </w:p>
    <w:p>
      <w:pPr>
        <w:ind w:firstLine="428"/>
        <w:spacing w:after="0" w:line="257" w:lineRule="auto"/>
        <w:tabs>
          <w:tab w:leader="none" w:pos="81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Guarantees have been duly authorized by the Guarantors and, upon execution of the Indenture by the Guarantors and when the Notes have been duly executed, authenticated and delivered as provided in the Indenture and paid for as provided herein, will constitute a valid and legally binding obligation of the Guarantors in accordance with their terms, enforceable against the Guarantors in accordance with their terms, subject, as to enforcement, to bankruptcy, insolvency, reorganization and other laws of general applicability relating to or affecting creditors’ rights, and to general equity principles;</w:t>
      </w:r>
    </w:p>
    <w:p>
      <w:pPr>
        <w:spacing w:after="0" w:line="80" w:lineRule="exact"/>
        <w:rPr>
          <w:rFonts w:ascii="Arial" w:cs="Arial" w:eastAsia="Arial" w:hAnsi="Arial"/>
          <w:sz w:val="18"/>
          <w:szCs w:val="18"/>
          <w:color w:val="auto"/>
        </w:rPr>
      </w:pPr>
    </w:p>
    <w:p>
      <w:pPr>
        <w:ind w:right="240" w:firstLine="428"/>
        <w:spacing w:after="0" w:line="264" w:lineRule="auto"/>
        <w:tabs>
          <w:tab w:leader="none" w:pos="813"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 of the transactions contemplated by this Agreement (including, without limitation, the use of the proceeds from the sale of the Securities) will violate or result in a violation of Section 7 of the Exchange Act, or any regulation promulgated thereunder, including, without limitation, Regulations T, U, and X of the Board of Governors of the Federal Reserve System;</w:t>
      </w:r>
    </w:p>
    <w:p>
      <w:pPr>
        <w:spacing w:after="0" w:line="73" w:lineRule="exact"/>
        <w:rPr>
          <w:rFonts w:ascii="Arial" w:cs="Arial" w:eastAsia="Arial" w:hAnsi="Arial"/>
          <w:sz w:val="18"/>
          <w:szCs w:val="18"/>
          <w:color w:val="auto"/>
        </w:rPr>
      </w:pPr>
    </w:p>
    <w:p>
      <w:pPr>
        <w:ind w:right="120" w:firstLine="428"/>
        <w:spacing w:after="0" w:line="264" w:lineRule="auto"/>
        <w:tabs>
          <w:tab w:leader="none" w:pos="813"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date hereof, none of the Issuers, the Guarantors or any of their respective affiliates has taken any action which is designed to or which has constituted or which would have reasonably been expected to cause or result in stabilization or manipulation of the price of any security of any such persons in connection with the offering of the Securities;</w:t>
      </w:r>
    </w:p>
    <w:p>
      <w:pPr>
        <w:spacing w:after="0" w:line="73" w:lineRule="exact"/>
        <w:rPr>
          <w:rFonts w:ascii="Arial" w:cs="Arial" w:eastAsia="Arial" w:hAnsi="Arial"/>
          <w:sz w:val="18"/>
          <w:szCs w:val="18"/>
          <w:color w:val="auto"/>
        </w:rPr>
      </w:pPr>
    </w:p>
    <w:p>
      <w:pPr>
        <w:ind w:firstLine="428"/>
        <w:spacing w:after="0" w:line="255" w:lineRule="auto"/>
        <w:tabs>
          <w:tab w:leader="none" w:pos="81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issue and sale of the Securities and, to the extent applicable, the compliance by the Issuers and the Guarantors with all provisions of each of the Transaction Documents, including those described under the caption “Description of Notes” in the Time of Sale Information and the Prospectus and the consummation of the transactions herein and therein contemplated (including the granting of the security interest pursuant to the Security Documents) will not conflict with or result in a breach or violation of any of the terms or provisions of, or constitute a default under, any indenture, mortgage, deed of trust, loan agreement, lease, license, franchise agreement, permit or other agreement or instrument to which the Issuers, the Guarantors or any of</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16" w:name="page17"/>
    <w:bookmarkEnd w:id="16"/>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respective subsidiaries is a party or by which the Issuers, the Guarantors or any of their respective subsidiaries is bound or to which any of the property or assets of the Issuers, the Guarantors or any of their respective subsidiaries is subject, nor will such action result in any violation of any statute or any order, rule or regulation of any court or governmental agency or body having jurisdiction over the Issuers, the Guarantors or any of their respective subsidiaries or any of their properties, including, without limitation, the Communications Act of 1934, as amended, the Cable Communications Policy Act of 1984, as amended, the Cable Television Consumer Protection and Competition Act of 1992, as amended, and the Telecommunications Act of 1996 (collectively, the “</w:t>
      </w:r>
      <w:r>
        <w:rPr>
          <w:rFonts w:ascii="Arial" w:cs="Arial" w:eastAsia="Arial" w:hAnsi="Arial"/>
          <w:sz w:val="17"/>
          <w:szCs w:val="17"/>
          <w:u w:val="single" w:color="auto"/>
          <w:color w:val="auto"/>
        </w:rPr>
        <w:t>Cable Acts</w:t>
      </w:r>
      <w:r>
        <w:rPr>
          <w:rFonts w:ascii="Arial" w:cs="Arial" w:eastAsia="Arial" w:hAnsi="Arial"/>
          <w:sz w:val="17"/>
          <w:szCs w:val="17"/>
          <w:color w:val="auto"/>
        </w:rPr>
        <w:t>”) or any order, rule or regulation of the Federal Communications Commission (the “</w:t>
      </w:r>
      <w:r>
        <w:rPr>
          <w:rFonts w:ascii="Arial" w:cs="Arial" w:eastAsia="Arial" w:hAnsi="Arial"/>
          <w:sz w:val="17"/>
          <w:szCs w:val="17"/>
          <w:u w:val="single" w:color="auto"/>
          <w:color w:val="auto"/>
        </w:rPr>
        <w:t>FCC</w:t>
      </w:r>
      <w:r>
        <w:rPr>
          <w:rFonts w:ascii="Arial" w:cs="Arial" w:eastAsia="Arial" w:hAnsi="Arial"/>
          <w:sz w:val="17"/>
          <w:szCs w:val="17"/>
          <w:color w:val="auto"/>
        </w:rPr>
        <w:t>”), except where such conflicts, breaches, violations or defaults would not, individually or in the aggregate, have a Material Adverse Effect and would not have the effect of preventing the Issuers or the Guarantors from performing any of their respective obligations under this Agreement or any of the other Transaction Documents to which they are, or are to be, a party; nor will such action result in any violation of the certificate of formation or limited partnership, as applicable, or limited liability company agreement or limited partnership agreement, as applicable, of the Company or the Guarantors or the certificate of incorporation or bylaws of CCO Capital; and no consent, approval, authorization, order, registration or qualification of or with any such court or governmental agency or body is required, including, without limitation, under the Cable Acts or any order, rule or regulation of the FCC, for the issue and sale of the Securities or the consummation by the Issuers or the Guarantors of the transactions contemplated in this paragraph (q), except (i) such consents, approvals, authorizations, orders, registrations or qualifications as have been obtained and (ii) such as may be required under state or foreign securities laws in connection with the purchase and resale of the Securities by the Underwriters;</w:t>
      </w:r>
    </w:p>
    <w:p>
      <w:pPr>
        <w:spacing w:after="0" w:line="73" w:lineRule="exact"/>
        <w:rPr>
          <w:sz w:val="20"/>
          <w:szCs w:val="20"/>
          <w:color w:val="auto"/>
        </w:rPr>
      </w:pPr>
    </w:p>
    <w:p>
      <w:pPr>
        <w:ind w:firstLine="428"/>
        <w:spacing w:after="0" w:line="290" w:lineRule="auto"/>
        <w:tabs>
          <w:tab w:leader="none" w:pos="783"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None of the Issuers, the Guarantors or any of their respective subsidiaries is (i) in violation of its certificate of incorporation, bylaws, certificate of formation, limited liability company agreement, partnership agreement or other organizational document, as the case may be, (ii) in default in the performance or observance of any obligation, agreement, covenant or condition contained in any indenture, mortgage, deed of trust, loan agreement, lease, license, permit or other agreement or instrument to which it is a party or by which it or any of its properties may be bound or (iii) in violation of the terms of any franchise agreement, or any law, statute, rule or regulation or any judgment, decree or order, in any such case, of any court or governmental or regulatory agency or other body having jurisdiction over the Issuers, the Guarantors or any of their respective subsidiaries or any of their properties or assets, including, without limitation, the Cable Acts or any order, rule or regulation of the FCC, except, in the case of clauses (ii) and (iii), such as would not, individually or in the aggregate, have a Material Adverse Effect;</w:t>
      </w:r>
    </w:p>
    <w:p>
      <w:pPr>
        <w:spacing w:after="0" w:line="58" w:lineRule="exact"/>
        <w:rPr>
          <w:rFonts w:ascii="Arial" w:cs="Arial" w:eastAsia="Arial" w:hAnsi="Arial"/>
          <w:sz w:val="16"/>
          <w:szCs w:val="16"/>
          <w:color w:val="auto"/>
        </w:rPr>
      </w:pPr>
    </w:p>
    <w:p>
      <w:pPr>
        <w:ind w:right="140" w:firstLine="428"/>
        <w:spacing w:after="0" w:line="302" w:lineRule="auto"/>
        <w:tabs>
          <w:tab w:leader="none" w:pos="79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statements set forth under the caption “Description of Notes” in the Time of Sale Information and the Prospectus, insofar as they purport to constitute a summary of the terms of the Securities and the Indenture and under the captions “Risk Factors,” “Description of Certain Indebtedness” and “Certain United States Federal Income Tax Consequences” in the Time of Sale Information and the Prospectus insofar as they purport to describe the provisions of the laws, documents and arrangements referred to therein, are accurate in all material respects;</w:t>
      </w:r>
    </w:p>
    <w:p>
      <w:pPr>
        <w:spacing w:after="0" w:line="46" w:lineRule="exact"/>
        <w:rPr>
          <w:rFonts w:ascii="Arial" w:cs="Arial" w:eastAsia="Arial" w:hAnsi="Arial"/>
          <w:sz w:val="16"/>
          <w:szCs w:val="16"/>
          <w:color w:val="auto"/>
        </w:rPr>
      </w:pPr>
    </w:p>
    <w:p>
      <w:pPr>
        <w:ind w:right="20" w:firstLine="428"/>
        <w:spacing w:after="0" w:line="293" w:lineRule="auto"/>
        <w:tabs>
          <w:tab w:leader="none" w:pos="773"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than as set forth in each of the Registration Statement, the Time of Sale Information and the Prospectus, there are no legal or governmental proceedings pending (including, without limitation, by the FCC or any franchising authority) to which the Issuers, the Guarantors or any of their respective subsidiaries is a party or of which any property of the Issuers, the Guarantors or any of their respective subsidiaries is the subject which, if determined adversely with respect to the Issuers, the Guarantors or any of their respective subsidiaries, would, individually or in the aggregate, have a Material Adverse Effect; and, to the knowledge of the Issuers and the Guarantors, and, except as disclosed in the Time of Sale Information and the Prospectus, no such proceedings are threatened or contemplated by governmental authorities or threatened by others;</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17" w:name="page18"/>
    <w:bookmarkEnd w:id="17"/>
    <w:p>
      <w:pPr>
        <w:ind w:right="220" w:firstLine="428"/>
        <w:spacing w:after="0" w:line="264" w:lineRule="auto"/>
        <w:tabs>
          <w:tab w:leader="none" w:pos="813"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Issuers, the Guarantors and their respective subsidiaries carry insurance (including, without limitation, self-insurance) in such amounts and covering such risks as in the reasonable determination of the Issuers and the Guarantors is adequate for the conduct of their business and the value of their properties;</w:t>
      </w:r>
    </w:p>
    <w:p>
      <w:pPr>
        <w:spacing w:after="0" w:line="73" w:lineRule="exact"/>
        <w:rPr>
          <w:rFonts w:ascii="Arial" w:cs="Arial" w:eastAsia="Arial" w:hAnsi="Arial"/>
          <w:sz w:val="18"/>
          <w:szCs w:val="18"/>
          <w:color w:val="auto"/>
        </w:rPr>
      </w:pPr>
    </w:p>
    <w:p>
      <w:pPr>
        <w:ind w:right="120" w:firstLine="428"/>
        <w:spacing w:after="0" w:line="259" w:lineRule="auto"/>
        <w:tabs>
          <w:tab w:leader="none" w:pos="8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set forth in each of the Registration Statement, the Time of Sale Information and the Prospectus, there is no strike, labor dispute, slowdown or work stoppage with the employees of any of the Issuers or the Guarantors or any of their respective subsidiaries which is pending or, to the knowledge of the Issuers or the Guarantors, threatened which would, individually or in the aggregate, have a Material Adverse Effect;</w:t>
      </w:r>
    </w:p>
    <w:p>
      <w:pPr>
        <w:spacing w:after="0" w:line="78" w:lineRule="exact"/>
        <w:rPr>
          <w:rFonts w:ascii="Arial" w:cs="Arial" w:eastAsia="Arial" w:hAnsi="Arial"/>
          <w:sz w:val="18"/>
          <w:szCs w:val="18"/>
          <w:color w:val="auto"/>
        </w:rPr>
      </w:pPr>
    </w:p>
    <w:p>
      <w:pPr>
        <w:ind w:right="40" w:firstLine="428"/>
        <w:spacing w:after="0" w:line="264" w:lineRule="auto"/>
        <w:tabs>
          <w:tab w:leader="none" w:pos="8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 of the Issuers or the Guarantors are, or after giving effect to the offering and sale of the Securities will be, an “investment company” or any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firstLine="428"/>
        <w:spacing w:after="0" w:line="268" w:lineRule="auto"/>
        <w:tabs>
          <w:tab w:leader="none" w:pos="81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consolidated financial statements (including the notes thereto), contained in or incorporated by reference into each of the Registration Statement, the Time of Sale Information and the Prospectus present fairly in all material respects the respective consolidated financial positions, results of operations and cash flows of the entities to which they relate at the dates and for the periods to which they relate and have been prepared in accordance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(except as otherwise noted therein). The selected historical financial data contained in or incorporated by reference into each of the Registration Statement, the Time of Sale Information and the Prospectus present fairly in all material respects the information shown therein and have been prepared and compiled on a basis consistent with the audited financial statements included therein. The interactive data in eXtensible Business Reporting Language included or incorporated by reference in the Registration Statement, the Time of Sale Information and the Prospectus fairly presents the information called for in all material respects and has been prepared in accordance with the Commission’s rules and guidelines applicable thereto. The pro forma financial information contained or incorporated by reference in each of the Registration Statement, the Time of Sale Information and the Prospectus have been prepared in all material respects in accordance with the applicable requirements of the Securities Act and the Exchange Act, as applicable, and the assumptions underlying such pro forma financial information are reasonable and are set forth in the Time of Sale Information and the Prospectus.</w:t>
      </w:r>
    </w:p>
    <w:p>
      <w:pPr>
        <w:spacing w:after="0" w:line="79" w:lineRule="exact"/>
        <w:rPr>
          <w:rFonts w:ascii="Arial" w:cs="Arial" w:eastAsia="Arial" w:hAnsi="Arial"/>
          <w:sz w:val="17"/>
          <w:szCs w:val="17"/>
          <w:color w:val="auto"/>
        </w:rPr>
      </w:pPr>
    </w:p>
    <w:p>
      <w:pPr>
        <w:jc w:val="both"/>
        <w:ind w:right="140" w:firstLine="428"/>
        <w:spacing w:after="0" w:line="279" w:lineRule="auto"/>
        <w:tabs>
          <w:tab w:leader="none" w:pos="813" w:val="left"/>
        </w:tabs>
        <w:numPr>
          <w:ilvl w:val="0"/>
          <w:numId w:val="10"/>
        </w:numPr>
        <w:rPr>
          <w:rFonts w:ascii="Arial" w:cs="Arial" w:eastAsia="Arial" w:hAnsi="Arial"/>
          <w:sz w:val="17"/>
          <w:szCs w:val="17"/>
          <w:color w:val="auto"/>
        </w:rPr>
      </w:pPr>
      <w:r>
        <w:rPr>
          <w:rFonts w:ascii="Arial" w:cs="Arial" w:eastAsia="Arial" w:hAnsi="Arial"/>
          <w:sz w:val="17"/>
          <w:szCs w:val="17"/>
          <w:color w:val="auto"/>
        </w:rPr>
        <w:t>KPMG LLP, who has certified the annual financial statements of the Parent Guarantor and Charter Communications Inc. (“</w:t>
      </w:r>
      <w:r>
        <w:rPr>
          <w:rFonts w:ascii="Arial" w:cs="Arial" w:eastAsia="Arial" w:hAnsi="Arial"/>
          <w:sz w:val="17"/>
          <w:szCs w:val="17"/>
          <w:u w:val="single" w:color="auto"/>
          <w:color w:val="auto"/>
        </w:rPr>
        <w:t>Charter</w:t>
      </w:r>
      <w:r>
        <w:rPr>
          <w:rFonts w:ascii="Arial" w:cs="Arial" w:eastAsia="Arial" w:hAnsi="Arial"/>
          <w:sz w:val="17"/>
          <w:szCs w:val="17"/>
          <w:color w:val="auto"/>
        </w:rPr>
        <w:t>”) included or incorporated by reference in the Time of Sale Information and the Prospectus, is an independent registered public accounting firm as required by the Securities Act and the rules and regulations of the Commission thereunder and the rules and regulations of the Public Company Accounting Oversight Board, in reliance upon their reports appearing in such financial statements;</w:t>
      </w:r>
    </w:p>
    <w:p>
      <w:pPr>
        <w:spacing w:after="0" w:line="63" w:lineRule="exact"/>
        <w:rPr>
          <w:rFonts w:ascii="Arial" w:cs="Arial" w:eastAsia="Arial" w:hAnsi="Arial"/>
          <w:sz w:val="17"/>
          <w:szCs w:val="17"/>
          <w:color w:val="auto"/>
        </w:rPr>
      </w:pPr>
    </w:p>
    <w:p>
      <w:pPr>
        <w:ind w:right="60" w:firstLine="428"/>
        <w:spacing w:after="0" w:line="297" w:lineRule="auto"/>
        <w:tabs>
          <w:tab w:leader="none" w:pos="803"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of (i) KPMG LLP, who has certified the annual financial statements of Bright House Networks, LLC (“</w:t>
      </w:r>
      <w:r>
        <w:rPr>
          <w:rFonts w:ascii="Arial" w:cs="Arial" w:eastAsia="Arial" w:hAnsi="Arial"/>
          <w:sz w:val="16"/>
          <w:szCs w:val="16"/>
          <w:u w:val="single" w:color="auto"/>
          <w:color w:val="auto"/>
        </w:rPr>
        <w:t>BHN</w:t>
      </w:r>
      <w:r>
        <w:rPr>
          <w:rFonts w:ascii="Arial" w:cs="Arial" w:eastAsia="Arial" w:hAnsi="Arial"/>
          <w:sz w:val="16"/>
          <w:szCs w:val="16"/>
          <w:color w:val="auto"/>
        </w:rPr>
        <w:t>”) incorporated by reference in the Time of Sale Information and the Prospectus and (ii) Ernst &amp; Young LLP, who has certified the annual financial statements of Time Warner Cable Inc. (“</w:t>
      </w:r>
      <w:r>
        <w:rPr>
          <w:rFonts w:ascii="Arial" w:cs="Arial" w:eastAsia="Arial" w:hAnsi="Arial"/>
          <w:sz w:val="16"/>
          <w:szCs w:val="16"/>
          <w:u w:val="single" w:color="auto"/>
          <w:color w:val="auto"/>
        </w:rPr>
        <w:t>TWC</w:t>
      </w:r>
      <w:r>
        <w:rPr>
          <w:rFonts w:ascii="Arial" w:cs="Arial" w:eastAsia="Arial" w:hAnsi="Arial"/>
          <w:sz w:val="16"/>
          <w:szCs w:val="16"/>
          <w:color w:val="auto"/>
        </w:rPr>
        <w:t>”) incorporated by reference in the Time of Sale Information and the Prospectus, is an independent registered public accounting firm as required by the Securities Act and the rules and regulations of the Commission thereunder and the rules and regulations of the Public Company Accounting Oversight Board, in reliance upon their report appearing in such annual financial statements;</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8" w:name="page19"/>
    <w:bookmarkEnd w:id="18"/>
    <w:p>
      <w:pPr>
        <w:ind w:firstLine="428"/>
        <w:spacing w:after="0" w:line="291" w:lineRule="auto"/>
        <w:tabs>
          <w:tab w:leader="none" w:pos="880" w:val="left"/>
        </w:tabs>
        <w:numPr>
          <w:ilvl w:val="1"/>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Issuers, the Guarantors, their respective subsidiaries own or possess, or can acquire on reasonable terms, adequate licenses, trademarks, service marks, trade names and copyrights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necessary to conduct the business now or proposed to be operated by each of them as described in each of the Registration Statement, the Time of Sale Information and the Prospectus, except where the failure to own, possess or have the ability to acquire any Intellectual Property would not, individually or in the aggregate, have a Material Adverse Effect; and none of the Issuers, the Guarantors or any of their respective subsidiaries has received any notice of infringement of or conflict with (and none actually knows of any such infringement of or conflict with) asserted rights of others with respect to any Intellectual Property which, if any such assertion of infringement or conflict were sustained would, individually or in the aggregate, have a Material Adverse Effect;</w:t>
      </w:r>
    </w:p>
    <w:p>
      <w:pPr>
        <w:spacing w:after="0" w:line="59" w:lineRule="exact"/>
        <w:rPr>
          <w:rFonts w:ascii="Arial" w:cs="Arial" w:eastAsia="Arial" w:hAnsi="Arial"/>
          <w:sz w:val="16"/>
          <w:szCs w:val="16"/>
          <w:color w:val="auto"/>
        </w:rPr>
      </w:pPr>
    </w:p>
    <w:p>
      <w:pPr>
        <w:ind w:firstLine="428"/>
        <w:spacing w:after="0" w:line="255" w:lineRule="auto"/>
        <w:tabs>
          <w:tab w:leader="none" w:pos="9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Except as described in each of the Registration Statement, the Time of Sale Information and the Prospectus, the Issuers, the Guarantors and their respective subsidiaries have obtained all consents, approvals, orders, certificates, licenses, permits, franchises and other authorizations of and from, and have made all declarations and filings with, all governmental and regulatory authorities (including, without limitation, the FCC), all requirements under the Cable Acts, and all self-regulatory organizations and all courts and other tribunals legally necessary to own, lease, license and use their respective properties and assets and to conduct their respective businesses in the manner described in the Time of Sale Information and the Prospectus, except to the extent that the failure to so obtain, declare or file would not, individually or in the aggregate, have a Material Adverse Effect;</w:t>
      </w:r>
    </w:p>
    <w:p>
      <w:pPr>
        <w:spacing w:after="0" w:line="81" w:lineRule="exact"/>
        <w:rPr>
          <w:rFonts w:ascii="Arial" w:cs="Arial" w:eastAsia="Arial" w:hAnsi="Arial"/>
          <w:sz w:val="18"/>
          <w:szCs w:val="18"/>
          <w:color w:val="auto"/>
        </w:rPr>
      </w:pPr>
    </w:p>
    <w:p>
      <w:pPr>
        <w:ind w:right="100" w:firstLine="428"/>
        <w:spacing w:after="0" w:line="293" w:lineRule="auto"/>
        <w:tabs>
          <w:tab w:leader="none" w:pos="8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Issuers, the Guarantors and their respective subsidiaries have filed all necessary federal, state and foreign income and franchise tax returns required to be filed as of the date hereof and have paid all taxes required to be paid by them, except where the failure to so file such returns or so pay would not, individually or in the aggregate, have a Material Adverse Effect; and there is no tax deficiency that has been asserted against the Issuers, the Guarantors or any of their respective subsidiaries (other than those for which the amount or validity thereof are currently being challenged in good faith by appropriate proceedings and with respect to which reserves in conformity with GAAP have been provided on the books of the relevant entity) that could reasonably be expected to result, individually or in the aggregate, in a Material Adverse Effect;</w:t>
      </w:r>
    </w:p>
    <w:p>
      <w:pPr>
        <w:spacing w:after="0" w:line="56" w:lineRule="exact"/>
        <w:rPr>
          <w:rFonts w:ascii="Arial" w:cs="Arial" w:eastAsia="Arial" w:hAnsi="Arial"/>
          <w:sz w:val="16"/>
          <w:szCs w:val="16"/>
          <w:color w:val="auto"/>
        </w:rPr>
      </w:pPr>
    </w:p>
    <w:p>
      <w:pPr>
        <w:ind w:right="240" w:firstLine="428"/>
        <w:spacing w:after="0" w:line="291" w:lineRule="auto"/>
        <w:tabs>
          <w:tab w:leader="none" w:pos="903" w:val="left"/>
        </w:tabs>
        <w:numPr>
          <w:ilvl w:val="1"/>
          <w:numId w:val="11"/>
        </w:numPr>
        <w:rPr>
          <w:rFonts w:ascii="Arial" w:cs="Arial" w:eastAsia="Arial" w:hAnsi="Arial"/>
          <w:sz w:val="16"/>
          <w:szCs w:val="16"/>
          <w:color w:val="auto"/>
        </w:rPr>
      </w:pPr>
      <w:r>
        <w:rPr>
          <w:rFonts w:ascii="Arial" w:cs="Arial" w:eastAsia="Arial" w:hAnsi="Arial"/>
          <w:sz w:val="16"/>
          <w:szCs w:val="16"/>
          <w:color w:val="auto"/>
        </w:rPr>
        <w:t>Each of the Issuers, the Guarantors and their respective subsidiaries maintains a system of internal accounting controls sufficient to provide reasonable assurances that (i) transactions are executed in accordance with management’s general or specific authorization;</w:t>
      </w:r>
    </w:p>
    <w:p>
      <w:pPr>
        <w:ind w:right="40" w:firstLine="4"/>
        <w:spacing w:after="0" w:line="270"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Time of Sale Information and the Prospectus fairly presents the information called for in all material respects and has been prepared in accordance with the Commission’s rules and guidelines applicable thereto;</w:t>
      </w:r>
    </w:p>
    <w:p>
      <w:pPr>
        <w:spacing w:after="0" w:line="70" w:lineRule="exact"/>
        <w:rPr>
          <w:rFonts w:ascii="Arial" w:cs="Arial" w:eastAsia="Arial" w:hAnsi="Arial"/>
          <w:sz w:val="17"/>
          <w:szCs w:val="17"/>
          <w:color w:val="auto"/>
        </w:rPr>
      </w:pPr>
    </w:p>
    <w:p>
      <w:pPr>
        <w:ind w:right="100" w:firstLine="428"/>
        <w:spacing w:after="0" w:line="277" w:lineRule="auto"/>
        <w:tabs>
          <w:tab w:leader="none" w:pos="883"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Except as described in each of the Registration Statement, the Time of Sale Information and the Prospectus: (i) each of the franchises held by, or necessary for any operations</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9" w:name="page20"/>
    <w:bookmarkEnd w:id="19"/>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Issuers, the Guarantors and their respective subsidiaries that are material to the Issuers, the Guarantors and their respective subsidiaries, taken as a whole, is in full force and effect, with no material restrictions or qualifications; (ii) to the knowledge of the Issuers and the Guarantors, no event has occurred which permits, or with notice or lapse of time or both would permit, the revocation or non-renewal of any such franchises, assuming the filing of timely renewal applications and the timely payment of all applicable filing and regulatory fees to the applicable franchising authority, or which would be reasonably likely to result, individually or in the aggregate, in any other material impairment of the rights of the Issuers, the Guarantors and their respective subsidiaries, as applicable, in such franchises; and (iii) the Issuers have no reason to believe that any franchise that is material to the operation of the Issuers, the Guarantors and their respective subsidiaries will not be renewed;</w:t>
      </w:r>
    </w:p>
    <w:p>
      <w:pPr>
        <w:spacing w:after="0" w:line="59" w:lineRule="exact"/>
        <w:rPr>
          <w:sz w:val="20"/>
          <w:szCs w:val="20"/>
          <w:color w:val="auto"/>
        </w:rPr>
      </w:pPr>
    </w:p>
    <w:p>
      <w:pPr>
        <w:ind w:firstLine="428"/>
        <w:spacing w:after="0" w:line="271" w:lineRule="auto"/>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of the programming agreements entered into by, or necessary for any operations of, the Issuers or the Guarantors that are material to the Issuers and the Guarantors, taken as a whole, is in full force and effect (or in any cases where the Issuers and the Guarantors and any suppliers of content are operating in the absence of an agreement, such content providers and the Issuers, the Guarantors and/or their respective subsidiaries, as the case may be, provide and receive service in accordance with terms that have been agreed to or consistently acknowledged or accepted by both parties, including, without limitation, situations in which providers or suppliers of content accept regular payment for the provision of such content); and to the knowledge of the Issuers and the Guarantors, no event has occurred (or with notice of lapse of time or both would occur) which would be reasonably likely to result in the early termination or non-renewal of any such programming agreements and which would, individually or in the aggregate, result in a Material Adverse Effect;</w:t>
      </w:r>
    </w:p>
    <w:p>
      <w:pPr>
        <w:spacing w:after="0" w:line="70" w:lineRule="exact"/>
        <w:rPr>
          <w:rFonts w:ascii="Arial" w:cs="Arial" w:eastAsia="Arial" w:hAnsi="Arial"/>
          <w:sz w:val="17"/>
          <w:szCs w:val="17"/>
          <w:color w:val="auto"/>
        </w:rPr>
      </w:pPr>
    </w:p>
    <w:p>
      <w:pPr>
        <w:ind w:right="60" w:firstLine="428"/>
        <w:spacing w:after="0" w:line="272"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Issuers, the Guarantors and their respective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for purposes of clauses (i) through (iii) above, where such noncompliance with Environmental Laws, failure to receive required permits, licenses or other approvals or failure to comply with the terms and conditions of such permits, licenses or approvals would not, individually or in the aggregate, have a Material Adverse Effect;</w:t>
      </w:r>
    </w:p>
    <w:p>
      <w:pPr>
        <w:spacing w:after="0" w:line="69" w:lineRule="exact"/>
        <w:rPr>
          <w:rFonts w:ascii="Arial" w:cs="Arial" w:eastAsia="Arial" w:hAnsi="Arial"/>
          <w:sz w:val="17"/>
          <w:szCs w:val="17"/>
          <w:color w:val="auto"/>
        </w:rPr>
      </w:pPr>
    </w:p>
    <w:p>
      <w:pPr>
        <w:ind w:right="100" w:firstLine="428"/>
        <w:spacing w:after="0" w:line="255" w:lineRule="auto"/>
        <w:tabs>
          <w:tab w:leader="none" w:pos="9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 of the Issuers, the Guarantors, Charter or any of their respective subsidiaries and, to the knowledge of the Issuers and the Guarantors, no director, officer, agent, employee or other person associated with or acting on behalf of the Issuers, the Guarantors, Charter or any of their respective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85" w:lineRule="exact"/>
        <w:rPr>
          <w:rFonts w:ascii="Arial" w:cs="Arial" w:eastAsia="Arial" w:hAnsi="Arial"/>
          <w:sz w:val="18"/>
          <w:szCs w:val="18"/>
          <w:color w:val="auto"/>
        </w:rPr>
      </w:pPr>
    </w:p>
    <w:p>
      <w:pPr>
        <w:ind w:right="100" w:firstLine="428"/>
        <w:spacing w:after="0" w:line="259"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operations of the Issuers, the Guarantors, Charter and their respective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20" w:name="page21"/>
    <w:bookmarkEnd w:id="20"/>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Issuers, the Guarantors, Charter or any of their respective subsidiaries with respect to the Money Laundering Laws is pending or, to the knowledge of the Issuers and the Guarantors, threatened;</w:t>
      </w:r>
    </w:p>
    <w:p>
      <w:pPr>
        <w:spacing w:after="0" w:line="57" w:lineRule="exact"/>
        <w:rPr>
          <w:sz w:val="20"/>
          <w:szCs w:val="20"/>
          <w:color w:val="auto"/>
        </w:rPr>
      </w:pPr>
    </w:p>
    <w:p>
      <w:pPr>
        <w:ind w:firstLine="428"/>
        <w:spacing w:after="0" w:line="273" w:lineRule="auto"/>
        <w:tabs>
          <w:tab w:leader="none" w:pos="8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None of the Issuers, the Guarantors, Charter or any of their respective subsidiaries and, to the knowledge of the Issuers and the Guarantors, no director, officer, agent, employee or affiliate of the Issuers, the Guarantors, Charter or any of their respective subsidiaries is currently subject to any U.S. sanctions administered by the Office of Foreign Assets Control of the U.S. Department of the Treasury (“</w:t>
      </w:r>
      <w:r>
        <w:rPr>
          <w:rFonts w:ascii="Arial" w:cs="Arial" w:eastAsia="Arial" w:hAnsi="Arial"/>
          <w:sz w:val="17"/>
          <w:szCs w:val="17"/>
          <w:u w:val="single" w:color="auto"/>
          <w:color w:val="auto"/>
        </w:rPr>
        <w:t>OFAC</w:t>
      </w:r>
      <w:r>
        <w:rPr>
          <w:rFonts w:ascii="Arial" w:cs="Arial" w:eastAsia="Arial" w:hAnsi="Arial"/>
          <w:sz w:val="17"/>
          <w:szCs w:val="17"/>
          <w:color w:val="auto"/>
        </w:rPr>
        <w:t>”); and neither of the Issuers nor the Guarantors will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70" w:lineRule="exact"/>
        <w:rPr>
          <w:rFonts w:ascii="Arial" w:cs="Arial" w:eastAsia="Arial" w:hAnsi="Arial"/>
          <w:sz w:val="17"/>
          <w:szCs w:val="17"/>
          <w:color w:val="auto"/>
        </w:rPr>
      </w:pPr>
    </w:p>
    <w:p>
      <w:pPr>
        <w:ind w:right="120" w:firstLine="428"/>
        <w:spacing w:after="0" w:line="290" w:lineRule="auto"/>
        <w:tabs>
          <w:tab w:leader="none" w:pos="90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Immediately after the consummation of this offering (including after giving effect to the execution, delivery and performance of this Agreement, the Indenture and the issuance and sale of the Securities), (i) the fair market value of the assets of each of the Guarantors and the Issuers, each on a consolidated basis with their respective subsidiaries, exceeds and will exceed its liabilities, on a consolidated basis with its subsidiaries; (ii) the present fair saleable value of the assets of each of the Guarantors and the Issuers, each on a consolidated basis with its subsidiaries, exceeds and will exceed its liabilities, on a consolidated basis with its subsidiaries; (iii) each of the Guarantors and the Issuers, each on a consolidated basis with its subsidiaries, is and will be able to pay its debts, on a consolidated basis with its subsidiaries, as such debts respectively mature or otherwise become absolute or due; and (iv) each of the Guarantors and the Issuers, on a consolidated basis with its subsidiaries, does not have and will not have unreasonably small capital with which to conduct its respective operations;</w:t>
      </w:r>
    </w:p>
    <w:p>
      <w:pPr>
        <w:spacing w:after="0" w:line="58" w:lineRule="exact"/>
        <w:rPr>
          <w:rFonts w:ascii="Arial" w:cs="Arial" w:eastAsia="Arial" w:hAnsi="Arial"/>
          <w:sz w:val="16"/>
          <w:szCs w:val="16"/>
          <w:color w:val="auto"/>
        </w:rPr>
      </w:pPr>
    </w:p>
    <w:p>
      <w:pPr>
        <w:ind w:right="100" w:firstLine="428"/>
        <w:spacing w:after="0" w:line="286"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Issuers, the Guarantors and their respective subsidiaries each maintain a system of disclosure controls and procedures to ensure that material information relating to the Issuers, the Guarantors and their respective subsidiaries, is made known to each of them by others within those entities, particularly during the period in which the periodic reports are being prepared;</w:t>
      </w:r>
    </w:p>
    <w:p>
      <w:pPr>
        <w:spacing w:after="0" w:line="57" w:lineRule="exact"/>
        <w:rPr>
          <w:rFonts w:ascii="Arial" w:cs="Arial" w:eastAsia="Arial" w:hAnsi="Arial"/>
          <w:sz w:val="17"/>
          <w:szCs w:val="17"/>
          <w:color w:val="auto"/>
        </w:rPr>
      </w:pPr>
    </w:p>
    <w:p>
      <w:pPr>
        <w:ind w:right="60" w:firstLine="428"/>
        <w:spacing w:after="0" w:line="31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Issuers, the Guarantors or their respective subsidiaries, or any of their directors or officers, in their capacities as such, to comply with any provision of the Sarbanes Oxley Act of 2002 and the rules and regulations promulgated in connection therewith, including, without limitation, Section 402 related to loans and Sections 302 and 906 related to certifications;</w:t>
      </w:r>
    </w:p>
    <w:p>
      <w:pPr>
        <w:spacing w:after="0" w:line="38" w:lineRule="exact"/>
        <w:rPr>
          <w:rFonts w:ascii="Arial" w:cs="Arial" w:eastAsia="Arial" w:hAnsi="Arial"/>
          <w:sz w:val="16"/>
          <w:szCs w:val="16"/>
          <w:color w:val="auto"/>
        </w:rPr>
      </w:pPr>
    </w:p>
    <w:p>
      <w:pPr>
        <w:ind w:right="400" w:firstLine="428"/>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Time of Sale Information and the Prospectus are based on or derived from sources that the Issuers and the Guarantors believe to be reliable and accurate;</w:t>
      </w:r>
    </w:p>
    <w:p>
      <w:pPr>
        <w:spacing w:after="0" w:line="62" w:lineRule="exact"/>
        <w:rPr>
          <w:rFonts w:ascii="Arial" w:cs="Arial" w:eastAsia="Arial" w:hAnsi="Arial"/>
          <w:sz w:val="18"/>
          <w:szCs w:val="18"/>
          <w:color w:val="auto"/>
        </w:rPr>
      </w:pPr>
    </w:p>
    <w:p>
      <w:pPr>
        <w:ind w:firstLine="428"/>
        <w:spacing w:after="0" w:line="264" w:lineRule="auto"/>
        <w:tabs>
          <w:tab w:leader="none" w:pos="9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of the material relationships and transactions specified in Item 404 of Regulation S-K required to be described in each of the Registration Statement, the Time of Sale Information and the Prospectus have been so described in each of the Registration Statement, the Time of Sale Information and the Prospectus (exclusive of any amendment or supplement thereto);</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0"/>
          </w:cols>
          <w:pgMar w:left="880" w:top="274" w:right="459" w:bottom="1440" w:gutter="0" w:footer="0" w:header="0"/>
        </w:sectPr>
      </w:pPr>
    </w:p>
    <w:bookmarkStart w:id="21" w:name="page22"/>
    <w:bookmarkEnd w:id="21"/>
    <w:p>
      <w:pPr>
        <w:ind w:left="420" w:right="180" w:firstLine="428"/>
        <w:spacing w:after="0" w:line="264" w:lineRule="auto"/>
        <w:tabs>
          <w:tab w:leader="none" w:pos="1320" w:val="left"/>
        </w:tabs>
        <w:numPr>
          <w:ilvl w:val="1"/>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the Issuers and the Guarantors, the financial information related to each of TWC and BHN and their respective subsidiaries incorporated by reference in each of the Registration Statement, the Time of Sale Information and the Prospectus is accurate in all material respects and is derived from financial statements prepared in accordance with GAAP;</w:t>
      </w:r>
    </w:p>
    <w:p>
      <w:pPr>
        <w:spacing w:after="0" w:line="73" w:lineRule="exact"/>
        <w:rPr>
          <w:rFonts w:ascii="Arial" w:cs="Arial" w:eastAsia="Arial" w:hAnsi="Arial"/>
          <w:sz w:val="18"/>
          <w:szCs w:val="18"/>
          <w:color w:val="auto"/>
        </w:rPr>
      </w:pPr>
    </w:p>
    <w:p>
      <w:pPr>
        <w:ind w:left="420" w:firstLine="428"/>
        <w:spacing w:after="0" w:line="273" w:lineRule="auto"/>
        <w:tabs>
          <w:tab w:leader="none" w:pos="1323" w:val="left"/>
        </w:tabs>
        <w:numPr>
          <w:ilvl w:val="1"/>
          <w:numId w:val="15"/>
        </w:numPr>
        <w:rPr>
          <w:rFonts w:ascii="Arial" w:cs="Arial" w:eastAsia="Arial" w:hAnsi="Arial"/>
          <w:sz w:val="17"/>
          <w:szCs w:val="17"/>
          <w:color w:val="auto"/>
        </w:rPr>
      </w:pPr>
      <w:r>
        <w:rPr>
          <w:rFonts w:ascii="Arial" w:cs="Arial" w:eastAsia="Arial" w:hAnsi="Arial"/>
          <w:sz w:val="17"/>
          <w:szCs w:val="17"/>
          <w:color w:val="auto"/>
        </w:rPr>
        <w:t>Each Security Document and the Intercreditor Agreement has been duly authorized by each Guarantor (other than the Parent Guarantor) and duly executed and delivered by such Guarantors (assuming the due authorization, execution and delivery thereof by the other parties thereto), constitutes a valid and legally binding obligation of such Guarantor party thereto in accordance with its terms, enforceable against it in accordance with its terms except that (i) the enforcement thereof may be subject, to (A) bankruptcy, insolvency, reorganization and other laws of general applicability relating to or affecting creditors’ rights and (B) general principles of equity, and (ii) any rights to indemnity or contribution thereunder may be limited by federal and state securities laws and public policy considerations; and</w:t>
      </w:r>
    </w:p>
    <w:p>
      <w:pPr>
        <w:spacing w:after="0" w:line="70" w:lineRule="exact"/>
        <w:rPr>
          <w:rFonts w:ascii="Arial" w:cs="Arial" w:eastAsia="Arial" w:hAnsi="Arial"/>
          <w:sz w:val="17"/>
          <w:szCs w:val="17"/>
          <w:color w:val="auto"/>
        </w:rPr>
      </w:pPr>
    </w:p>
    <w:p>
      <w:pPr>
        <w:ind w:left="420" w:right="40" w:firstLine="428"/>
        <w:spacing w:after="0" w:line="293" w:lineRule="auto"/>
        <w:tabs>
          <w:tab w:leader="none" w:pos="12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Collateral Agreement, dated as of May 18, 2016, by and among the Issuers and each Guarantor party thereto (the “</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has been duly authorized and creates, in favor of the Collateral Agent for the benefit of the Collateral Agent and the holders of the Securities, a valid and enforceable, and the filing or recording of the appropriate financing statements and similar instruments with the appropriate governmental authorities (and the payment of the appropriate filing fees and any applicable taxes) and the delivery of the applicable documents to the Collateral Agent in accordance with the provisions of the Collateral Agreement, a perfected security interest in all Collateral, superior to and prior to the Liens (as defined in the Prospectus Supplement) of all third persons other than Liens not prohibited by the Indenture.</w:t>
      </w:r>
    </w:p>
    <w:p>
      <w:pPr>
        <w:spacing w:after="0" w:line="164" w:lineRule="exact"/>
        <w:rPr>
          <w:rFonts w:ascii="Arial" w:cs="Arial" w:eastAsia="Arial" w:hAnsi="Arial"/>
          <w:sz w:val="16"/>
          <w:szCs w:val="16"/>
          <w:color w:val="auto"/>
        </w:rPr>
      </w:pPr>
    </w:p>
    <w:p>
      <w:pPr>
        <w:ind w:left="-20" w:right="40" w:firstLine="444"/>
        <w:spacing w:after="0" w:line="255" w:lineRule="auto"/>
        <w:tabs>
          <w:tab w:leader="none" w:pos="736"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Subject to the terms and conditions herein set forth, the Issuers agree to issue and sell to each of the Underwriters, and each of the Underwriters agrees, severally and not jointly, to purchase from the Issuers the principal amount of the Securities set forth opposite the name of such Underwriter in Schedule I hereto, (i) in the case of the 2029 Notes, at an aggregate purchase price of 99.310% of the aggregate principal amount thereof plus accrued and unpaid interest, if any, from January 17, 2019 to the Time of Delivery and (ii) in the case of the 2048 Notes, at an aggregate purchase price of 94.376% of the aggregate principal amount thereof plus accrued and unpaid interest, if any, from October 1, 2018 to the Time of Delivery.</w:t>
      </w:r>
    </w:p>
    <w:p>
      <w:pPr>
        <w:spacing w:after="0" w:line="193" w:lineRule="exact"/>
        <w:rPr>
          <w:rFonts w:ascii="Arial" w:cs="Arial" w:eastAsia="Arial" w:hAnsi="Arial"/>
          <w:sz w:val="18"/>
          <w:szCs w:val="18"/>
          <w:color w:val="auto"/>
        </w:rPr>
      </w:pPr>
    </w:p>
    <w:p>
      <w:pPr>
        <w:ind w:left="-20" w:right="80" w:firstLine="444"/>
        <w:spacing w:after="0" w:line="297" w:lineRule="auto"/>
        <w:tabs>
          <w:tab w:leader="none" w:pos="73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 of the Underwriters</w:t>
      </w:r>
      <w:r>
        <w:rPr>
          <w:rFonts w:ascii="Arial" w:cs="Arial" w:eastAsia="Arial" w:hAnsi="Arial"/>
          <w:sz w:val="16"/>
          <w:szCs w:val="16"/>
          <w:color w:val="auto"/>
        </w:rPr>
        <w:t>. Upon the authorization by the Issuers of the release of the Securities, the Underwriters propose to offer the Securities for sale upon the terms and conditions set forth in this Agreement, the Registration Statement, the Time of Sale Information and the Prospectus, and each Underwriter, severally and not jointly, hereby represents and warrants to, and agrees with the Issuers that the Underwriters intend to offer for sale to the public, as described in the Pricing Disclosure Package and the Prospectus, their respective portions of the Securities as soon after this Agreement has been executed as the Underwriters, in their sole judgment, have determined is advisable and practicable.</w:t>
      </w:r>
    </w:p>
    <w:p>
      <w:pPr>
        <w:spacing w:after="0" w:line="158" w:lineRule="exact"/>
        <w:rPr>
          <w:rFonts w:ascii="Arial" w:cs="Arial" w:eastAsia="Arial" w:hAnsi="Arial"/>
          <w:sz w:val="16"/>
          <w:szCs w:val="16"/>
          <w:color w:val="auto"/>
        </w:rPr>
      </w:pPr>
    </w:p>
    <w:p>
      <w:pPr>
        <w:ind w:left="740" w:hanging="31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20" w:right="80" w:firstLine="428"/>
        <w:spacing w:after="0" w:line="302" w:lineRule="auto"/>
        <w:tabs>
          <w:tab w:leader="none" w:pos="12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Securities to be purchased by each Underwriter hereunder will be represented by definitive global notes in book-entry form which will be deposited by or on behalf of the Issuers with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or its designated custodian. The Issuers will deliver the Securities to Deutsche Bank Securities Inc., for the account of each Underwriter, against payment by or on behalf of such Underwriter of the purchase price therefor by wire transfer of same day funds wired in accordance with the written instructions of the Company, by caus-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22" w:name="page23"/>
    <w:bookmarkEnd w:id="22"/>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ing DTC to credit the Notes to the account of Deutsche Bank Securities Inc. at DTC. The Issuers will cause the certificates representing the Securities to be made available to Deutsche Bank Securities Inc. for checking at least twenty-four hours prior to the Time of Delivery at the office of DTC or its designated custodian (the “</w:t>
      </w:r>
      <w:r>
        <w:rPr>
          <w:rFonts w:ascii="Arial" w:cs="Arial" w:eastAsia="Arial" w:hAnsi="Arial"/>
          <w:sz w:val="18"/>
          <w:szCs w:val="18"/>
          <w:u w:val="single" w:color="auto"/>
          <w:color w:val="auto"/>
        </w:rPr>
        <w:t>Designated Office</w:t>
      </w:r>
      <w:r>
        <w:rPr>
          <w:rFonts w:ascii="Arial" w:cs="Arial" w:eastAsia="Arial" w:hAnsi="Arial"/>
          <w:sz w:val="18"/>
          <w:szCs w:val="18"/>
          <w:color w:val="auto"/>
        </w:rPr>
        <w:t>”). The time and date of such delivery and payment shall be 9:30 a.m., New York City time, on January 17, 2019 or such other time and date as Deutsche Bank Securities Inc. and the Issuers may agree upon in writing. Such time and date are herein called the “</w:t>
      </w:r>
      <w:r>
        <w:rPr>
          <w:rFonts w:ascii="Arial" w:cs="Arial" w:eastAsia="Arial" w:hAnsi="Arial"/>
          <w:sz w:val="18"/>
          <w:szCs w:val="18"/>
          <w:u w:val="single" w:color="auto"/>
          <w:color w:val="auto"/>
        </w:rPr>
        <w:t>Time of Delivery</w:t>
      </w:r>
      <w:r>
        <w:rPr>
          <w:rFonts w:ascii="Arial" w:cs="Arial" w:eastAsia="Arial" w:hAnsi="Arial"/>
          <w:sz w:val="18"/>
          <w:szCs w:val="18"/>
          <w:color w:val="auto"/>
        </w:rPr>
        <w:t>.”</w:t>
      </w:r>
    </w:p>
    <w:p>
      <w:pPr>
        <w:spacing w:after="0" w:line="80" w:lineRule="exact"/>
        <w:rPr>
          <w:sz w:val="20"/>
          <w:szCs w:val="20"/>
          <w:color w:val="auto"/>
        </w:rPr>
      </w:pPr>
    </w:p>
    <w:p>
      <w:pPr>
        <w:ind w:right="40" w:firstLine="428"/>
        <w:spacing w:after="0" w:line="270" w:lineRule="auto"/>
        <w:tabs>
          <w:tab w:leader="none" w:pos="810"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The documents to be delivered at the Time of Delivery by or on behalf of the parties hereto pursuant to Section 8 hereof, including, without limitation, the cross-receipt for the Notes and any additional documents requested by the Underwriters pursuant to Section 8(l) hereof, will be delivered at such time and date at the offices of Cahill Gordon &amp; Reindel </w:t>
      </w:r>
      <w:r>
        <w:rPr>
          <w:rFonts w:ascii="Arial" w:cs="Arial" w:eastAsia="Arial" w:hAnsi="Arial"/>
          <w:sz w:val="14"/>
          <w:szCs w:val="14"/>
          <w:color w:val="auto"/>
        </w:rPr>
        <w:t>LLP</w:t>
      </w:r>
      <w:r>
        <w:rPr>
          <w:rFonts w:ascii="Arial" w:cs="Arial" w:eastAsia="Arial" w:hAnsi="Arial"/>
          <w:sz w:val="17"/>
          <w:szCs w:val="17"/>
          <w:color w:val="auto"/>
        </w:rPr>
        <w:t>, 80 Pine Street, New York, New York 10005 or such other location as the parties mutually agree (the “</w:t>
      </w:r>
      <w:r>
        <w:rPr>
          <w:rFonts w:ascii="Arial" w:cs="Arial" w:eastAsia="Arial" w:hAnsi="Arial"/>
          <w:sz w:val="17"/>
          <w:szCs w:val="17"/>
          <w:u w:val="single" w:color="auto"/>
          <w:color w:val="auto"/>
        </w:rPr>
        <w:t>Closing Location</w:t>
      </w:r>
      <w:r>
        <w:rPr>
          <w:rFonts w:ascii="Arial" w:cs="Arial" w:eastAsia="Arial" w:hAnsi="Arial"/>
          <w:sz w:val="17"/>
          <w:szCs w:val="17"/>
          <w:color w:val="auto"/>
        </w:rPr>
        <w:t>”), and the Notes will be delivered at the Designated Office, all at the Time of Delivery. A meeting will be held at the Closing Location at 6:00 p.m., New York City time (or such other time as the parties mutually agree), on the New York Business Day next preceding the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81" w:lineRule="exact"/>
        <w:rPr>
          <w:rFonts w:ascii="Arial" w:cs="Arial" w:eastAsia="Arial" w:hAnsi="Arial"/>
          <w:sz w:val="17"/>
          <w:szCs w:val="17"/>
          <w:color w:val="auto"/>
        </w:rPr>
      </w:pPr>
    </w:p>
    <w:p>
      <w:pPr>
        <w:ind w:left="320" w:hanging="316"/>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Each of the Issuers and the Guarantors, jointly and severally, agrees with each of the Underwriters:</w:t>
      </w:r>
    </w:p>
    <w:p>
      <w:pPr>
        <w:spacing w:after="0" w:line="117" w:lineRule="exact"/>
        <w:rPr>
          <w:rFonts w:ascii="Arial" w:cs="Arial" w:eastAsia="Arial" w:hAnsi="Arial"/>
          <w:sz w:val="18"/>
          <w:szCs w:val="18"/>
          <w:color w:val="auto"/>
        </w:rPr>
      </w:pPr>
    </w:p>
    <w:p>
      <w:pPr>
        <w:ind w:right="20" w:firstLine="428"/>
        <w:spacing w:after="0" w:line="270"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That the Issuers will file the final Prospectus with the Commission within the time periods specified by Rule 424(b) and Rule 430A, 430B or 430C under the Securities Act, will file any Issuer Free Writing Prospectus (including the term sheet in the form of Annex B hereto) to the extent required by Rule 433 under the Securities Act, and the Issuers and the Guarantors will file promptly all reports and any definitive proxy or information statements required to be filed by the Issuers and the Guarantors with the Commission pursuant to Section 13(a), 13(c), 14 or 15(d) of the Exchange Act subsequent to the date of the Prospectus and for so long as the delivery of a prospectus is required in connection with the offering or sale of the Securities; and the Issuers will furnish copies of the Prospectus and each Issuer Free Writing Prospectus (to the extent not previously delivered) to the Underwriters in New York City prior to 10:00 A.M., New York City time, on the second business day succeeding the date of this Agreement in such quantities as the Representatives may reasonably request. The Issuers will pay the registration fees for this offering within the time period required by Rule 456(b)(1)(i) under the Securities Act (without giving effect to the proviso therein) and in any event prior to the Time of Delivery;</w:t>
      </w:r>
    </w:p>
    <w:p>
      <w:pPr>
        <w:spacing w:after="0" w:line="69" w:lineRule="exact"/>
        <w:rPr>
          <w:rFonts w:ascii="Arial" w:cs="Arial" w:eastAsia="Arial" w:hAnsi="Arial"/>
          <w:sz w:val="17"/>
          <w:szCs w:val="17"/>
          <w:color w:val="auto"/>
        </w:rPr>
      </w:pPr>
    </w:p>
    <w:p>
      <w:pPr>
        <w:ind w:right="20" w:firstLine="428"/>
        <w:spacing w:after="0" w:line="276" w:lineRule="auto"/>
        <w:tabs>
          <w:tab w:leader="none" w:pos="81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That before finalizing the Prospectus or making or distributing any amendment or supplement to any of the Registration Statement, Time of Sale Information or the Prospectus or filing with the Commission any document that will be incorporated by reference therein, the Issuers will furnish to the Underwriters and counsel for the Underwriters a copy of the proposed Prospectus or such amendment or supplement or document to be incorporated by reference therein for review, and will not distribute any such proposed Prospectus, amendment or supplement or file any such document with the Commission to which the Underwriters reasonably object;</w:t>
      </w:r>
    </w:p>
    <w:p>
      <w:pPr>
        <w:spacing w:after="0" w:line="64" w:lineRule="exact"/>
        <w:rPr>
          <w:rFonts w:ascii="Arial" w:cs="Arial" w:eastAsia="Arial" w:hAnsi="Arial"/>
          <w:sz w:val="17"/>
          <w:szCs w:val="17"/>
          <w:color w:val="auto"/>
        </w:rPr>
      </w:pPr>
    </w:p>
    <w:p>
      <w:pPr>
        <w:ind w:firstLine="428"/>
        <w:spacing w:after="0" w:line="286"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That before making, preparing, using, authorizing, approving or referring to any Issuer Free Writing Prospectus, the Issuers will furnish to the Underwriters and counsel for the Underwriters a copy of such Issuer Free Writing Prospectus for review and will not make, prepare, use, authorize, approve or refer to any such Issuer Free Writing Prospectus to which the Underwriters reasonably object;</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0"/>
          </w:cols>
          <w:pgMar w:left="880" w:top="274" w:right="459" w:bottom="1440" w:gutter="0" w:footer="0" w:header="0"/>
        </w:sectPr>
      </w:pPr>
    </w:p>
    <w:bookmarkStart w:id="23" w:name="page24"/>
    <w:bookmarkEnd w:id="23"/>
    <w:p>
      <w:pPr>
        <w:ind w:right="40" w:firstLine="428"/>
        <w:spacing w:after="0" w:line="257" w:lineRule="auto"/>
        <w:tabs>
          <w:tab w:leader="none" w:pos="813"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from time to time to take such action as you may reasonably request to qualify the Securities for offering and sale under the securities laws of such jurisdictions as you may request and to comply with such laws so as to permit the continuance of sales and dealings therein in such jurisdictions for as long as may be necessary to complete the distribution of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therewith the Issuers shall not be required to qualify as a foreign corporation or limited liability company, as the case may be, or to file a general consent to service of process in any jurisdiction;</w:t>
      </w:r>
    </w:p>
    <w:p>
      <w:pPr>
        <w:spacing w:after="0" w:line="80" w:lineRule="exact"/>
        <w:rPr>
          <w:rFonts w:ascii="Arial" w:cs="Arial" w:eastAsia="Arial" w:hAnsi="Arial"/>
          <w:sz w:val="18"/>
          <w:szCs w:val="18"/>
          <w:color w:val="auto"/>
        </w:rPr>
      </w:pPr>
    </w:p>
    <w:p>
      <w:pPr>
        <w:ind w:firstLine="428"/>
        <w:spacing w:after="0" w:line="268"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Issuers will deliver, without charge, to the Representatives, during the Prospectus Delivery Period (as defined below), as many copies of the Prospectus (including all amendments and supplements thereto and documents incorporated by reference therein) and each Issuer Free Writing Prospectus as the Representatives may reasonably request and each amendment or supplement thereto signed by an authorized officer of each of the Issuers with the independent accountants’ reports in the Prospectus, and any amendment or supplement containing amendments to the financial statements covered by such reports, signed by the accountants, and additional copies thereof in, such quantities as you may from time to time reasonably request, and if, at any time prior to the expiration of the Prospectus Delivery Period,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or desirable during such same period to amend or supplement the Prospectus, to notify you and upon your request to prepare and furnish without charge to each Underwriter and to any dealer in securities as many copies as you may from time to time reasonably request of an amended Prospectus or a supplement to the Prospectus which will correct such statement or omission or effect such compliance. As used herein, the term “</w:t>
      </w:r>
      <w:r>
        <w:rPr>
          <w:rFonts w:ascii="Arial" w:cs="Arial" w:eastAsia="Arial" w:hAnsi="Arial"/>
          <w:sz w:val="17"/>
          <w:szCs w:val="17"/>
          <w:u w:val="single" w:color="auto"/>
          <w:color w:val="auto"/>
        </w:rPr>
        <w:t>Prospectus Delivery Period</w:t>
      </w:r>
      <w:r>
        <w:rPr>
          <w:rFonts w:ascii="Arial" w:cs="Arial" w:eastAsia="Arial" w:hAnsi="Arial"/>
          <w:sz w:val="17"/>
          <w:szCs w:val="17"/>
          <w:color w:val="auto"/>
        </w:rPr>
        <w:t>”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75" w:lineRule="exact"/>
        <w:rPr>
          <w:rFonts w:ascii="Arial" w:cs="Arial" w:eastAsia="Arial" w:hAnsi="Arial"/>
          <w:sz w:val="17"/>
          <w:szCs w:val="17"/>
          <w:color w:val="auto"/>
        </w:rPr>
      </w:pPr>
    </w:p>
    <w:p>
      <w:pPr>
        <w:ind w:right="80" w:firstLine="428"/>
        <w:spacing w:after="0" w:line="270"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That if at any time during the Prospectus Delivery Period (i) any event shall occur or condition shall exist as a result of which any of the Time of Sale Information or Prospectus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any of the Time of Sale Information or Prospectus to comply with law, the Issuers will immediately notify the Underwriters thereof and forthwith prepare and, subject to paragraph (a) above, furnish to the Underwriters such amendments or supplements to any of the Time of Sale Information or Prospectus (or any document to be filed with the Commission and incorporated by reference therein) as may be necessary so that the statements in any of the Time of Sale Information or Prospectus as so amended or supplemented will not, in light of the circumstances under which they were made, be misleading or so that any of the Time of Sale Information or Prospectus will comply with law;</w:t>
      </w:r>
    </w:p>
    <w:p>
      <w:pPr>
        <w:spacing w:after="0" w:line="73" w:lineRule="exact"/>
        <w:rPr>
          <w:rFonts w:ascii="Arial" w:cs="Arial" w:eastAsia="Arial" w:hAnsi="Arial"/>
          <w:sz w:val="17"/>
          <w:szCs w:val="17"/>
          <w:color w:val="auto"/>
        </w:rPr>
      </w:pPr>
    </w:p>
    <w:p>
      <w:pPr>
        <w:ind w:right="120" w:firstLine="428"/>
        <w:spacing w:after="0" w:line="342" w:lineRule="auto"/>
        <w:tabs>
          <w:tab w:leader="none" w:pos="81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That during the period beginning from the date hereof and continuing until the date 30 days after the Time of Delivery, not to, and not permit any of their respective subsidiaries or anyone authorized to act on behalf of the Issuers, the Guarantors or their respective affiliates,</w:t>
      </w:r>
    </w:p>
    <w:p>
      <w:pPr>
        <w:spacing w:after="0" w:line="5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24" w:name="page25"/>
    <w:bookmarkEnd w:id="24"/>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it controls, to, without the prior written consent of Citigroup Global Markets Inc. and Deutsche Bank Securities Inc., offer, sell, contract to sell or otherwise dispose of, except as provided hereunder, any securities of the Issuers, the Guarantors or their respective subsidiaries that are substantially similar to the Securities;</w:t>
      </w:r>
    </w:p>
    <w:p>
      <w:pPr>
        <w:spacing w:after="0" w:line="73" w:lineRule="exact"/>
        <w:rPr>
          <w:sz w:val="20"/>
          <w:szCs w:val="20"/>
          <w:color w:val="auto"/>
        </w:rPr>
      </w:pPr>
    </w:p>
    <w:p>
      <w:pPr>
        <w:ind w:firstLine="428"/>
        <w:spacing w:after="0" w:line="285" w:lineRule="auto"/>
        <w:tabs>
          <w:tab w:leader="none" w:pos="81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the Issuers and the Guarantors will advise the Representatives promptly, and confirm such advice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(vi) of the receipt by the Issuers of any notice of objection of the Commission to the use of the Registration Statement or any post-effective amendment thereto pursuant to Rule 401(g)(2) under the Securities Act; and (vii) of the receipt by the Issuers or the Guarantors of any notice with respect to any suspension of the qualification of the Securities for offer and sale in any jurisdiction or the initiation or threatening of any proceeding for such purpose; and the Issuers and the Guarantors will use their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obtain as soon as possible the withdrawal thereof;</w:t>
      </w:r>
    </w:p>
    <w:p>
      <w:pPr>
        <w:spacing w:after="0" w:line="67" w:lineRule="exact"/>
        <w:rPr>
          <w:rFonts w:ascii="Arial" w:cs="Arial" w:eastAsia="Arial" w:hAnsi="Arial"/>
          <w:sz w:val="16"/>
          <w:szCs w:val="16"/>
          <w:color w:val="auto"/>
        </w:rPr>
      </w:pPr>
    </w:p>
    <w:p>
      <w:pPr>
        <w:ind w:right="40" w:firstLine="428"/>
        <w:spacing w:after="0" w:line="259" w:lineRule="auto"/>
        <w:tabs>
          <w:tab w:leader="none" w:pos="7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the Issuers will make generally available to security holders and the Representatives as soon as practicable an earning statement that satisfies the provisions of Section 11(a) of the Securities Act and Rule 158 of the Commission promulgated thereunder covering a period of at least twelve months beginning with the first fiscal quarter of the Issuers occurring after the “effective date” (as defined in Rule 158) of the Registration Statement;</w:t>
      </w:r>
    </w:p>
    <w:p>
      <w:pPr>
        <w:spacing w:after="0" w:line="78" w:lineRule="exact"/>
        <w:rPr>
          <w:rFonts w:ascii="Arial" w:cs="Arial" w:eastAsia="Arial" w:hAnsi="Arial"/>
          <w:sz w:val="18"/>
          <w:szCs w:val="18"/>
          <w:color w:val="auto"/>
        </w:rPr>
      </w:pPr>
    </w:p>
    <w:p>
      <w:pPr>
        <w:ind w:right="220" w:firstLine="428"/>
        <w:spacing w:after="0" w:line="277" w:lineRule="auto"/>
        <w:tabs>
          <w:tab w:leader="none" w:pos="7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That the Issuers will, pursuant to reasonable procedures developed in good faith, retain copies of each Issuer Free Writing Prospectus that is not filed with the Commission in accordance with Rule 433 under the Securities Act;</w:t>
      </w:r>
    </w:p>
    <w:p>
      <w:pPr>
        <w:spacing w:after="0" w:line="62" w:lineRule="exact"/>
        <w:rPr>
          <w:rFonts w:ascii="Arial" w:cs="Arial" w:eastAsia="Arial" w:hAnsi="Arial"/>
          <w:sz w:val="18"/>
          <w:szCs w:val="18"/>
          <w:color w:val="auto"/>
        </w:rPr>
      </w:pPr>
    </w:p>
    <w:p>
      <w:pPr>
        <w:ind w:right="220" w:firstLine="428"/>
        <w:spacing w:after="0" w:line="264" w:lineRule="auto"/>
        <w:tabs>
          <w:tab w:leader="none" w:pos="8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to be or become, at any time prior to the expiration of two years after the Time of Delivery, an “open-end investment company”, “unit investment trust”, “closed-end investment company” or “face-amount certificate company” that is or is required to be registered under Section 8 of the Investment Company Act;</w:t>
      </w:r>
    </w:p>
    <w:p>
      <w:pPr>
        <w:spacing w:after="0" w:line="73" w:lineRule="exact"/>
        <w:rPr>
          <w:rFonts w:ascii="Arial" w:cs="Arial" w:eastAsia="Arial" w:hAnsi="Arial"/>
          <w:sz w:val="18"/>
          <w:szCs w:val="18"/>
          <w:color w:val="auto"/>
        </w:rPr>
      </w:pPr>
    </w:p>
    <w:p>
      <w:pPr>
        <w:ind w:right="520" w:firstLine="428"/>
        <w:spacing w:after="0" w:line="308" w:lineRule="auto"/>
        <w:tabs>
          <w:tab w:leader="none" w:pos="77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use the net proceeds received from the sale of the Securities pursuant to this Agreement in the manner specified in each of the Registration Statement, the Time of Sale Information and the Prospectus under the caption “Use of Proceeds” therein;</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25" w:name="page26"/>
    <w:bookmarkEnd w:id="25"/>
    <w:p>
      <w:pPr>
        <w:ind w:right="300" w:firstLine="428"/>
        <w:spacing w:after="0" w:line="259" w:lineRule="auto"/>
        <w:tabs>
          <w:tab w:leader="none" w:pos="863" w:val="left"/>
        </w:tabs>
        <w:numPr>
          <w:ilvl w:val="1"/>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permitted by Regulation M under the Exchange Act, none of the Issuers, the Guarantors nor any of their respective affiliates will take, directly or indirectly, any action designed to or which has constituted or which would reasonably be expected to cause or result, under the Exchange Act or otherwise, in stabilization or manipulation of the price of any security of the Issuers to facilitate the sale or resale of the Notes;</w:t>
      </w:r>
    </w:p>
    <w:p>
      <w:pPr>
        <w:spacing w:after="0" w:line="78" w:lineRule="exact"/>
        <w:rPr>
          <w:rFonts w:ascii="Arial" w:cs="Arial" w:eastAsia="Arial" w:hAnsi="Arial"/>
          <w:sz w:val="18"/>
          <w:szCs w:val="18"/>
          <w:color w:val="auto"/>
        </w:rPr>
      </w:pPr>
    </w:p>
    <w:p>
      <w:pPr>
        <w:ind w:firstLine="428"/>
        <w:spacing w:after="0" w:line="302" w:lineRule="auto"/>
        <w:tabs>
          <w:tab w:leader="none" w:pos="8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Issuers and the Guarantors (i) shall complete on or prior to the Closing Date all filings and take all other similar actions required in connection with the perfection of first-priority security interests in the Collateral as and to the extent required by the Indenture and the Security Documents and (ii) shall take all actions necessary to maintain such security interests and to perfect first-priority security interests in any Collateral acquired after the Closing Date, in each case as and to the extent required by the Indenture and the Security Documents; and</w:t>
      </w:r>
    </w:p>
    <w:p>
      <w:pPr>
        <w:spacing w:after="0" w:line="46" w:lineRule="exact"/>
        <w:rPr>
          <w:rFonts w:ascii="Arial" w:cs="Arial" w:eastAsia="Arial" w:hAnsi="Arial"/>
          <w:sz w:val="16"/>
          <w:szCs w:val="16"/>
          <w:color w:val="auto"/>
        </w:rPr>
      </w:pPr>
    </w:p>
    <w:p>
      <w:pPr>
        <w:ind w:right="60" w:firstLine="428"/>
        <w:spacing w:after="0" w:line="253" w:lineRule="auto"/>
        <w:tabs>
          <w:tab w:leader="none" w:pos="8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Issuers and the Guarantors acknowledge and agree that the Underwriters are acting solely in the capacity of an arm’s length contractual counterparty to the Issuers and the Guarantors with respect to the offering of the Securities contemplated hereby (including in connection with determining the terms of the offering) and not as financial advisors or fiduciaries to, or agents of, each of the Issuers, the Guarantors or any other person. Additionally, none of the Underwriters is advising the Issuers, the Guarantors or any other person as to any legal, tax, investment, accounting or regulatory matters in any jurisdiction. The Issuers and the Guarantors shall consult with their own advisors concerning such matters and shall be responsible for making their own independent investigation and appraisal of the transactions contemplated hereby, and none of the Underwriters shall have any responsibility or liability to the Issuers or the Guarantors with respect thereto. Any review by any Underwriter of the Issuers, the Guarantors, and the transactions contemplated hereby or other matters relating to such transactions will be performed solely for the benefit of such Underwriter, as the case may be, and shall not be on behalf of the Issuers, the Guarantors or any other person.</w:t>
      </w:r>
    </w:p>
    <w:p>
      <w:pPr>
        <w:spacing w:after="0" w:line="194" w:lineRule="exact"/>
        <w:rPr>
          <w:rFonts w:ascii="Arial" w:cs="Arial" w:eastAsia="Arial" w:hAnsi="Arial"/>
          <w:sz w:val="18"/>
          <w:szCs w:val="18"/>
          <w:color w:val="auto"/>
        </w:rPr>
      </w:pPr>
    </w:p>
    <w:p>
      <w:pPr>
        <w:ind w:left="320" w:hanging="316"/>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Agreement to Pay 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0" w:hanging="372"/>
        <w:spacing w:after="0"/>
        <w:tabs>
          <w:tab w:leader="none" w:pos="8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Each of the Issuers covenants and agrees with the several Underwriters that the Issuers will pay or cause to be paid the following:</w:t>
      </w:r>
    </w:p>
    <w:p>
      <w:pPr>
        <w:spacing w:after="0" w:line="46" w:lineRule="exact"/>
        <w:rPr>
          <w:sz w:val="20"/>
          <w:szCs w:val="20"/>
          <w:color w:val="auto"/>
        </w:rPr>
      </w:pPr>
    </w:p>
    <w:p>
      <w:pPr>
        <w:ind w:right="20" w:firstLine="4"/>
        <w:spacing w:after="0" w:line="267" w:lineRule="auto"/>
        <w:tabs>
          <w:tab w:leader="none" w:pos="2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reasonable fees, disbursements and expenses of the Issuers’ counsel and accountants in connection with the issue of the Securities and all other expenses in connection with the preparation, printing and filing of the Registration Statement, the Preliminary Prospectus, any other Time of Sale Information, any Issuer Free Writing Prospectus and the Prospectus and any amendments and supplements thereto and the mailing and delivering of copies thereof to the Underwriters and dealers; (ii) the cost of producing and distributing the Blue Sky and Legal Investment Memoranda; (iii) all expenses in connection with the qualification of the Securities for offering and sale under state securities laws as provided in Section 5(d) hereof, including, without limitation, the fees and disbursements of counsel for the Underwriters in connection with such qualification and in connection with the Blue Sky and Legal Investment surveys; (iv) any fees charged by securities rating services for rating the Securities; (v) the cost of preparing the Securities; (vi) the fees and expenses of the Trustee and any agent of the Trustee and the fees and disbursements of counsel for the Trustee in connection with the Indenture, the Securities and the Security Documents and the fees and expenses attributable to creating and perfecting the security interest therein (including the reasonable related fees and expenses of counsel for the Underwriters for all periods prior to and after the Closing Date); (vii) all expenses and fees incurred in connection with the approval of the Securities for book-entry transfer by DTC; (viii) the cost of any filings required by Financial Industry Regulatory Authority Inc. and (ix) all other reasonable costs and expenses incident to the performance of its obligations hereunder which are not otherwise specifically provided for in this Section 6. It is understood,</w:t>
      </w:r>
    </w:p>
    <w:p>
      <w:pPr>
        <w:spacing w:after="0" w:line="1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26" w:name="page27"/>
    <w:bookmarkEnd w:id="26"/>
    <w:p>
      <w:pPr>
        <w:jc w:val="both"/>
        <w:ind w:left="400"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however, that, except as provided in this Section 6 and Sections 9 and 12 hereof, the Underwriters will pay all their own costs and expenses, including, without limitation, the fees of their counsel, transfer taxes on resale of any of the Securities by them, and any advertising expenses connected with any offers they may make; and</w:t>
      </w:r>
    </w:p>
    <w:p>
      <w:pPr>
        <w:spacing w:after="0" w:line="73" w:lineRule="exact"/>
        <w:rPr>
          <w:sz w:val="20"/>
          <w:szCs w:val="20"/>
          <w:color w:val="auto"/>
        </w:rPr>
      </w:pPr>
    </w:p>
    <w:p>
      <w:pPr>
        <w:ind w:left="400" w:right="80" w:firstLine="428"/>
        <w:spacing w:after="0" w:line="279" w:lineRule="auto"/>
        <w:tabs>
          <w:tab w:leader="none" w:pos="1213"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(i) this Agreement is terminated pursuant to Section 12, (ii) the Issuers for any reason fail to tender the Securities for delivery to the Underwriters or (iii) the Underwriters decline to purchase the Securities for any reason permitted under this Agreement, the Issuers agree to reimburse the Underwriters for all reasonable out-of-pocket costs and expenses (including the reasonable fees and expenses of their counsel) reasonably incurred by the Underwriters in connection with this Agreement and the offering contemplated hereby.</w:t>
      </w:r>
    </w:p>
    <w:p>
      <w:pPr>
        <w:spacing w:after="0" w:line="171" w:lineRule="exact"/>
        <w:rPr>
          <w:rFonts w:ascii="Arial" w:cs="Arial" w:eastAsia="Arial" w:hAnsi="Arial"/>
          <w:sz w:val="17"/>
          <w:szCs w:val="17"/>
          <w:color w:val="auto"/>
        </w:rPr>
      </w:pPr>
    </w:p>
    <w:p>
      <w:pPr>
        <w:ind w:left="-40" w:right="40" w:firstLine="444"/>
        <w:spacing w:after="0" w:line="290" w:lineRule="auto"/>
        <w:tabs>
          <w:tab w:leader="none" w:pos="71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Certain Agreements of the Underwriters</w:t>
      </w:r>
      <w:r>
        <w:rPr>
          <w:rFonts w:ascii="Arial" w:cs="Arial" w:eastAsia="Arial" w:hAnsi="Arial"/>
          <w:sz w:val="16"/>
          <w:szCs w:val="16"/>
          <w:color w:val="auto"/>
        </w:rPr>
        <w:t>. Each Underwriter severally agrees that it has not and will not use, authorize use of, refer to, or participate in the planning for use of, any “free writing prospectus”, as defined in Rule 405 under the Securities Act (which term includes use of any written information furnished to the Commission by the Issuers and not incorporated by reference into the Registration Statement and any press release issued by the Issuers)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1(b) or Section 5 above (including any electronic road show), or (iii) any free writing prospectus prepared by such Underwriter and approved by the Company in advance in writing (each such free writing prospectus referred to in clauses (i) or (iii), an “</w:t>
      </w:r>
      <w:r>
        <w:rPr>
          <w:rFonts w:ascii="Arial" w:cs="Arial" w:eastAsia="Arial" w:hAnsi="Arial"/>
          <w:sz w:val="16"/>
          <w:szCs w:val="16"/>
          <w:u w:val="single" w:color="auto"/>
          <w:color w:val="auto"/>
        </w:rPr>
        <w:t>Underwriter Free Writing Prospectus</w:t>
      </w:r>
      <w:r>
        <w:rPr>
          <w:rFonts w:ascii="Arial" w:cs="Arial" w:eastAsia="Arial" w:hAnsi="Arial"/>
          <w:sz w:val="16"/>
          <w:szCs w:val="16"/>
          <w:color w:val="auto"/>
        </w:rPr>
        <w:t>”). Notwithstanding the foregoing, the Underwriters may use term sheets substantially in the form of Annex B hereto without the consent of the Issuers.</w:t>
      </w:r>
    </w:p>
    <w:p>
      <w:pPr>
        <w:spacing w:after="0" w:line="166" w:lineRule="exact"/>
        <w:rPr>
          <w:rFonts w:ascii="Arial" w:cs="Arial" w:eastAsia="Arial" w:hAnsi="Arial"/>
          <w:sz w:val="16"/>
          <w:szCs w:val="16"/>
          <w:color w:val="auto"/>
        </w:rPr>
      </w:pPr>
    </w:p>
    <w:p>
      <w:pPr>
        <w:jc w:val="both"/>
        <w:ind w:left="-40" w:right="160" w:firstLine="444"/>
        <w:spacing w:after="0" w:line="259" w:lineRule="auto"/>
        <w:tabs>
          <w:tab w:leader="none" w:pos="71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hereunder shall be subject, in their discretion, to the condition that all representations and warranties and other statements of the Issuers and the Guarantors herein are, at and as of the date hereof and the Time of Delivery, true and correct, the condition that the Issuers and the Guarantors shall have performed all their obligations hereunder theretofore to be performed, and the following additional conditions:</w:t>
      </w:r>
    </w:p>
    <w:p>
      <w:pPr>
        <w:spacing w:after="0" w:line="78" w:lineRule="exact"/>
        <w:rPr>
          <w:rFonts w:ascii="Arial" w:cs="Arial" w:eastAsia="Arial" w:hAnsi="Arial"/>
          <w:sz w:val="18"/>
          <w:szCs w:val="18"/>
          <w:color w:val="auto"/>
        </w:rPr>
      </w:pPr>
    </w:p>
    <w:p>
      <w:pPr>
        <w:ind w:left="400" w:right="180" w:firstLine="428"/>
        <w:spacing w:after="0" w:line="279" w:lineRule="auto"/>
        <w:tabs>
          <w:tab w:leader="none" w:pos="12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The Underwriters shall have received from Cahill Gordon &amp; Reindel </w:t>
      </w:r>
      <w:r>
        <w:rPr>
          <w:rFonts w:ascii="Arial" w:cs="Arial" w:eastAsia="Arial" w:hAnsi="Arial"/>
          <w:sz w:val="14"/>
          <w:szCs w:val="14"/>
          <w:color w:val="auto"/>
        </w:rPr>
        <w:t>LLP</w:t>
      </w:r>
      <w:r>
        <w:rPr>
          <w:rFonts w:ascii="Arial" w:cs="Arial" w:eastAsia="Arial" w:hAnsi="Arial"/>
          <w:sz w:val="17"/>
          <w:szCs w:val="17"/>
          <w:color w:val="auto"/>
        </w:rPr>
        <w:t>, counsel for the Underwriters, such opinion or opinions, dated the Time of Delivery and addressed to the Underwriters, with respect to the issuance and sale of the Securities, the issuance of the Guarantees and the Indenture and other related matters as the Underwriters may reasonably require, and the Issuers shall have furnished to such counsel such documents as they request for the purpose of enabling them to pass upon such matters;</w:t>
      </w:r>
    </w:p>
    <w:p>
      <w:pPr>
        <w:spacing w:after="0" w:line="63" w:lineRule="exact"/>
        <w:rPr>
          <w:rFonts w:ascii="Arial" w:cs="Arial" w:eastAsia="Arial" w:hAnsi="Arial"/>
          <w:sz w:val="17"/>
          <w:szCs w:val="17"/>
          <w:color w:val="auto"/>
        </w:rPr>
      </w:pPr>
    </w:p>
    <w:p>
      <w:pPr>
        <w:ind w:left="400" w:right="500" w:firstLine="428"/>
        <w:spacing w:after="0" w:line="264" w:lineRule="auto"/>
        <w:tabs>
          <w:tab w:leader="none" w:pos="12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Kirkland &amp; Ellis LLP, counsel for the Issuers, shall have furnished to you their (i) written opinion, dated the Time of Delivery, substantially in the form of Annex C hereto and (ii) negative assurance letter, dated the Time of Delivery, in form and substance reasonably satisfactory to you;</w:t>
      </w:r>
    </w:p>
    <w:p>
      <w:pPr>
        <w:spacing w:after="0" w:line="73" w:lineRule="exact"/>
        <w:rPr>
          <w:rFonts w:ascii="Arial" w:cs="Arial" w:eastAsia="Arial" w:hAnsi="Arial"/>
          <w:sz w:val="18"/>
          <w:szCs w:val="18"/>
          <w:color w:val="auto"/>
        </w:rPr>
      </w:pPr>
    </w:p>
    <w:p>
      <w:pPr>
        <w:ind w:left="400" w:firstLine="428"/>
        <w:spacing w:after="0" w:line="277" w:lineRule="auto"/>
        <w:tabs>
          <w:tab w:leader="none" w:pos="120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Davis Wright Tremaine LLP, special regulatory counsel to the Issuers, shall have furnished to you their written opinion, dated the Time of Delivery, substantially in the form of Annex D hereto;</w:t>
      </w:r>
    </w:p>
    <w:p>
      <w:pPr>
        <w:spacing w:after="0" w:line="62" w:lineRule="exact"/>
        <w:rPr>
          <w:rFonts w:ascii="Arial" w:cs="Arial" w:eastAsia="Arial" w:hAnsi="Arial"/>
          <w:sz w:val="18"/>
          <w:szCs w:val="18"/>
          <w:color w:val="auto"/>
        </w:rPr>
      </w:pPr>
    </w:p>
    <w:p>
      <w:pPr>
        <w:ind w:left="1220" w:hanging="392"/>
        <w:spacing w:after="0"/>
        <w:tabs>
          <w:tab w:leader="none" w:pos="1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Issuers shall have furnished to you a certificate, dated the Time of Delivery, in form and substance reasonably satisfactory to you,</w:t>
      </w:r>
    </w:p>
    <w:p>
      <w:pPr>
        <w:spacing w:after="0" w:line="46"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7"/>
          <w:szCs w:val="17"/>
          <w:color w:val="auto"/>
        </w:rPr>
        <w:t>(i) with respect to certain financial information of TWC and BHN incorporated by reference in the Time of Sale Information and the Pro-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74" w:right="479" w:bottom="1440" w:gutter="0" w:footer="0" w:header="0"/>
        </w:sectPr>
      </w:pPr>
    </w:p>
    <w:bookmarkStart w:id="27" w:name="page28"/>
    <w:bookmarkEnd w:id="27"/>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spectus and (ii) certifying that nothing has come to the attention of the Issuers that would cause the Issuers to believe that the financial information of BHN and TWC included in the Time of Sale Information and the Prospectus has not been prepared in accordance with GAAP in all material respects;</w:t>
      </w:r>
    </w:p>
    <w:p>
      <w:pPr>
        <w:spacing w:after="0" w:line="73" w:lineRule="exact"/>
        <w:rPr>
          <w:sz w:val="20"/>
          <w:szCs w:val="20"/>
          <w:color w:val="auto"/>
        </w:rPr>
      </w:pPr>
    </w:p>
    <w:p>
      <w:pPr>
        <w:ind w:right="20" w:firstLine="428"/>
        <w:spacing w:after="0" w:line="277" w:lineRule="auto"/>
        <w:tabs>
          <w:tab w:leader="none" w:pos="803" w:val="left"/>
        </w:tabs>
        <w:numPr>
          <w:ilvl w:val="1"/>
          <w:numId w:val="26"/>
        </w:numPr>
        <w:rPr>
          <w:rFonts w:ascii="Arial" w:cs="Arial" w:eastAsia="Arial" w:hAnsi="Arial"/>
          <w:sz w:val="18"/>
          <w:szCs w:val="18"/>
          <w:color w:val="auto"/>
        </w:rPr>
      </w:pPr>
      <w:r>
        <w:rPr>
          <w:rFonts w:ascii="Arial" w:cs="Arial" w:eastAsia="Arial" w:hAnsi="Arial"/>
          <w:sz w:val="18"/>
          <w:szCs w:val="18"/>
          <w:color w:val="auto"/>
        </w:rPr>
        <w:t>On the date of the Time of Sale Information and also at the Time of Delivery, KPMG LLP shall have furnished to you a letter or letters, dated the respective dates of delivery thereof, in form and substance reasonably satisfactory to you;</w:t>
      </w:r>
    </w:p>
    <w:p>
      <w:pPr>
        <w:spacing w:after="0" w:line="62" w:lineRule="exact"/>
        <w:rPr>
          <w:rFonts w:ascii="Arial" w:cs="Arial" w:eastAsia="Arial" w:hAnsi="Arial"/>
          <w:sz w:val="18"/>
          <w:szCs w:val="18"/>
          <w:color w:val="auto"/>
        </w:rPr>
      </w:pPr>
    </w:p>
    <w:p>
      <w:pPr>
        <w:jc w:val="both"/>
        <w:ind w:right="280" w:firstLine="428"/>
        <w:spacing w:after="0" w:line="286" w:lineRule="auto"/>
        <w:tabs>
          <w:tab w:leader="none" w:pos="783" w:val="left"/>
        </w:tabs>
        <w:numPr>
          <w:ilvl w:val="1"/>
          <w:numId w:val="26"/>
        </w:numPr>
        <w:rPr>
          <w:rFonts w:ascii="Arial" w:cs="Arial" w:eastAsia="Arial" w:hAnsi="Arial"/>
          <w:sz w:val="16"/>
          <w:szCs w:val="16"/>
          <w:color w:val="auto"/>
        </w:rPr>
      </w:pPr>
      <w:r>
        <w:rPr>
          <w:rFonts w:ascii="Arial" w:cs="Arial" w:eastAsia="Arial" w:hAnsi="Arial"/>
          <w:sz w:val="16"/>
          <w:szCs w:val="16"/>
          <w:color w:val="auto"/>
        </w:rPr>
        <w:t>(i) None of the Issuers, the Guarantors or any of their respective subsidiaries shall have sustained since the date of the latest audited financial statements included or incorporated by reference in the Time of Sale Information and the Prospectus any loss or interference with its business from fire, explosion, flood or other calamity, whether or not covered by insurance, or from any court or governmental action, order or decree, otherwise than as set forth or contemplated in each of the Registration Statement, the Time of Sale Information and the Prospectus, and</w:t>
      </w:r>
    </w:p>
    <w:p>
      <w:pPr>
        <w:spacing w:after="0" w:line="1" w:lineRule="exact"/>
        <w:rPr>
          <w:rFonts w:ascii="Arial" w:cs="Arial" w:eastAsia="Arial" w:hAnsi="Arial"/>
          <w:sz w:val="16"/>
          <w:szCs w:val="16"/>
          <w:color w:val="auto"/>
        </w:rPr>
      </w:pPr>
    </w:p>
    <w:p>
      <w:pPr>
        <w:ind w:right="80" w:firstLine="4"/>
        <w:spacing w:after="0" w:line="287" w:lineRule="auto"/>
        <w:tabs>
          <w:tab w:leader="none" w:pos="2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since the respective dates as of which information is given in each of the Registration Statement, the Time of Sale Information and the Prospectus (for clarification purposes, this excludes any amendment or supplement to the each of the Registration Statement, the Time of Sale Information and the Prospectus on or after the date of this Agreement) there shall not have been any change in the capital stock, limited liability company interests, partnership interests or long-term debt of the Issuers or any of their respective subsidiaries or any change, or any development involving a prospective change, in or affecting the general affairs, management, financial position, stockholders’ or members’ equity, or results of operations of the Issuers and their respective subsidiaries, otherwise than as set forth or contemplated in each of the Registration Statement, the Time of Sale Information and the Prospectus, the effect of which, in any such case described in clause (i) or (ii), is in the judgment of the Underwriters so material and adverse as to make it impracticable or inadvisable to proceed with the offering or the sale or delivery of the Securities on the terms and in the manner contemplated in this Agreement and in the Time of Sale Information and the Prospectus;</w:t>
      </w:r>
    </w:p>
    <w:p>
      <w:pPr>
        <w:spacing w:after="0" w:line="58" w:lineRule="exact"/>
        <w:rPr>
          <w:rFonts w:ascii="Arial" w:cs="Arial" w:eastAsia="Arial" w:hAnsi="Arial"/>
          <w:sz w:val="16"/>
          <w:szCs w:val="16"/>
          <w:color w:val="auto"/>
        </w:rPr>
      </w:pPr>
    </w:p>
    <w:p>
      <w:pPr>
        <w:ind w:right="20" w:firstLine="428"/>
        <w:spacing w:after="0" w:line="288" w:lineRule="auto"/>
        <w:tabs>
          <w:tab w:leader="none" w:pos="813"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Subsequent to the earlier of the Time of Sale and the execution and delivery of this Agreement, (i) no downgrading shall have occurred in the rating accorded the Securities or any other debt securities or preferred stock issued or guaranteed by the Issuers, the Guarantors or any of their respective subsidiaries by any “nationally recognized statistical rating organization” registered under Section 15E of the Exchange Act; and</w:t>
      </w:r>
    </w:p>
    <w:p>
      <w:pPr>
        <w:ind w:right="400" w:firstLine="4"/>
        <w:spacing w:after="0" w:line="277" w:lineRule="auto"/>
        <w:tabs>
          <w:tab w:leader="none" w:pos="265"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 such organization shall have publicly announced that it has under surveillance or review, or has changed its outlook with respect to, its rating of the Securities or of any other debt securities or preferred stock issued or guaranteed by the Issuers, the Guarantors or any of their respective subsidiaries (other than an announcement with positive implications of a possible upgrading);</w:t>
      </w:r>
    </w:p>
    <w:p>
      <w:pPr>
        <w:spacing w:after="0" w:line="65" w:lineRule="exact"/>
        <w:rPr>
          <w:rFonts w:ascii="Arial" w:cs="Arial" w:eastAsia="Arial" w:hAnsi="Arial"/>
          <w:sz w:val="17"/>
          <w:szCs w:val="17"/>
          <w:color w:val="auto"/>
        </w:rPr>
      </w:pPr>
    </w:p>
    <w:p>
      <w:pPr>
        <w:ind w:right="420" w:firstLine="428"/>
        <w:spacing w:after="0" w:line="277" w:lineRule="auto"/>
        <w:tabs>
          <w:tab w:leader="none" w:pos="81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Underwriters shall have received counterparts of the Indenture and the Officers’ Certificate that shall have been executed and delivered by a duly authorized officer(s) of each of the Issuers and the Guarantors;</w:t>
      </w:r>
    </w:p>
    <w:p>
      <w:pPr>
        <w:spacing w:after="0" w:line="62" w:lineRule="exact"/>
        <w:rPr>
          <w:rFonts w:ascii="Arial" w:cs="Arial" w:eastAsia="Arial" w:hAnsi="Arial"/>
          <w:sz w:val="18"/>
          <w:szCs w:val="18"/>
          <w:color w:val="auto"/>
        </w:rPr>
      </w:pPr>
    </w:p>
    <w:p>
      <w:pPr>
        <w:ind w:left="780" w:hanging="352"/>
        <w:spacing w:after="0"/>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Securities shall be eligible for clearance and settlement through DTC;</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80"/>
          </w:cols>
          <w:pgMar w:left="880" w:top="274" w:right="439" w:bottom="1440" w:gutter="0" w:footer="0" w:header="0"/>
        </w:sectPr>
      </w:pPr>
    </w:p>
    <w:bookmarkStart w:id="28" w:name="page29"/>
    <w:bookmarkEnd w:id="28"/>
    <w:p>
      <w:pPr>
        <w:jc w:val="both"/>
        <w:ind w:right="60" w:firstLine="428"/>
        <w:spacing w:after="0" w:line="259" w:lineRule="auto"/>
        <w:tabs>
          <w:tab w:leader="none" w:pos="763"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Time of Delivery, the Underwriters shall have received a written certificate executed by the Chairman of the Board, Chief Executive Officer or President of the Issuers, the Chief Financial Officer or Chief Accounting Officer of the Issuers, dated as of the Time of Delivery, certifying to the matters set forth in subsections (f) and (g) of this Section 8 and as to such other matters as you may reasonably request, and further to the effect that:</w:t>
      </w:r>
    </w:p>
    <w:p>
      <w:pPr>
        <w:spacing w:after="0" w:line="78" w:lineRule="exact"/>
        <w:rPr>
          <w:rFonts w:ascii="Arial" w:cs="Arial" w:eastAsia="Arial" w:hAnsi="Arial"/>
          <w:sz w:val="18"/>
          <w:szCs w:val="18"/>
          <w:color w:val="auto"/>
        </w:rPr>
      </w:pPr>
    </w:p>
    <w:p>
      <w:pPr>
        <w:jc w:val="both"/>
        <w:ind w:left="440" w:right="320" w:firstLine="411"/>
        <w:spacing w:after="0" w:line="264" w:lineRule="auto"/>
        <w:tabs>
          <w:tab w:leader="none" w:pos="1195"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Issuers and the Guarantors set forth herein were true and correct as of the date hereof and are true and correct as of the Time of Delivery with the same force and effect as though expressly made on and as of the Time of Delivery;</w:t>
      </w:r>
    </w:p>
    <w:p>
      <w:pPr>
        <w:spacing w:after="0" w:line="73" w:lineRule="exact"/>
        <w:rPr>
          <w:rFonts w:ascii="Arial" w:cs="Arial" w:eastAsia="Arial" w:hAnsi="Arial"/>
          <w:sz w:val="18"/>
          <w:szCs w:val="18"/>
          <w:color w:val="auto"/>
        </w:rPr>
      </w:pPr>
    </w:p>
    <w:p>
      <w:pPr>
        <w:ind w:left="440" w:right="120" w:firstLine="411"/>
        <w:spacing w:after="0" w:line="255" w:lineRule="auto"/>
        <w:tabs>
          <w:tab w:leader="none" w:pos="1245"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Securities Act and no order suspending the effectiveness of the Registration Statement is in effect, and no proceeding for such purpose, pursuant to Rule 401(g)(2) or pursuant to Section 8A under the Securities Act is pending before or threatened by the Commission; the Prospectus and each Issuer Free Writing Prospectus has been timely filed with the Commission under the Securities Act (in the case of an Issuer Free Writing Prospectus, to the extent required by Rule 433 under the Securities Act) and in accordance with Section 5(a) hereof; and all requests by the Commission for additional information have been complied with; and</w:t>
      </w:r>
    </w:p>
    <w:p>
      <w:pPr>
        <w:spacing w:after="0" w:line="85" w:lineRule="exact"/>
        <w:rPr>
          <w:rFonts w:ascii="Arial" w:cs="Arial" w:eastAsia="Arial" w:hAnsi="Arial"/>
          <w:sz w:val="18"/>
          <w:szCs w:val="18"/>
          <w:color w:val="auto"/>
        </w:rPr>
      </w:pPr>
    </w:p>
    <w:p>
      <w:pPr>
        <w:ind w:left="440" w:right="300" w:firstLine="411"/>
        <w:spacing w:after="0" w:line="277" w:lineRule="auto"/>
        <w:tabs>
          <w:tab w:leader="none" w:pos="1295" w:val="left"/>
        </w:tabs>
        <w:numPr>
          <w:ilvl w:val="2"/>
          <w:numId w:val="29"/>
        </w:numPr>
        <w:rPr>
          <w:rFonts w:ascii="Arial" w:cs="Arial" w:eastAsia="Arial" w:hAnsi="Arial"/>
          <w:sz w:val="18"/>
          <w:szCs w:val="18"/>
          <w:color w:val="auto"/>
        </w:rPr>
      </w:pPr>
      <w:r>
        <w:rPr>
          <w:rFonts w:ascii="Arial" w:cs="Arial" w:eastAsia="Arial" w:hAnsi="Arial"/>
          <w:sz w:val="18"/>
          <w:szCs w:val="18"/>
          <w:color w:val="auto"/>
        </w:rPr>
        <w:t>each of the Issuers and the Guarantors have complied with all the agreements and satisfied all the conditions on its part to be performed or satisfied at or prior to the Time of Delivery.</w:t>
      </w:r>
    </w:p>
    <w:p>
      <w:pPr>
        <w:spacing w:after="0" w:line="62" w:lineRule="exact"/>
        <w:rPr>
          <w:rFonts w:ascii="Arial" w:cs="Arial" w:eastAsia="Arial" w:hAnsi="Arial"/>
          <w:sz w:val="18"/>
          <w:szCs w:val="18"/>
          <w:color w:val="auto"/>
        </w:rPr>
      </w:pPr>
    </w:p>
    <w:p>
      <w:pPr>
        <w:ind w:right="140" w:firstLine="428"/>
        <w:spacing w:after="0" w:line="273" w:lineRule="auto"/>
        <w:tabs>
          <w:tab w:leader="none" w:pos="81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Registration Statement shall have become effective under the Securities Act and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and</w:t>
      </w:r>
    </w:p>
    <w:p>
      <w:pPr>
        <w:spacing w:after="0" w:line="70" w:lineRule="exact"/>
        <w:rPr>
          <w:rFonts w:ascii="Arial" w:cs="Arial" w:eastAsia="Arial" w:hAnsi="Arial"/>
          <w:sz w:val="17"/>
          <w:szCs w:val="17"/>
          <w:color w:val="auto"/>
        </w:rPr>
      </w:pPr>
    </w:p>
    <w:p>
      <w:pPr>
        <w:ind w:right="40" w:firstLine="428"/>
        <w:spacing w:after="0" w:line="259" w:lineRule="auto"/>
        <w:tabs>
          <w:tab w:leader="none" w:pos="773" w:val="left"/>
        </w:tabs>
        <w:numPr>
          <w:ilvl w:val="1"/>
          <w:numId w:val="29"/>
        </w:numPr>
        <w:rPr>
          <w:rFonts w:ascii="Arial" w:cs="Arial" w:eastAsia="Arial" w:hAnsi="Arial"/>
          <w:sz w:val="18"/>
          <w:szCs w:val="18"/>
          <w:color w:val="auto"/>
        </w:rPr>
      </w:pPr>
      <w:r>
        <w:rPr>
          <w:rFonts w:ascii="Arial" w:cs="Arial" w:eastAsia="Arial" w:hAnsi="Arial"/>
          <w:sz w:val="18"/>
          <w:szCs w:val="18"/>
          <w:color w:val="auto"/>
        </w:rPr>
        <w:t>On or before the Time of Delivery, the Underwriters and counsel for the Underwriters shall have received such information, documents and opinions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86" w:lineRule="exact"/>
        <w:rPr>
          <w:rFonts w:ascii="Arial" w:cs="Arial" w:eastAsia="Arial" w:hAnsi="Arial"/>
          <w:sz w:val="18"/>
          <w:szCs w:val="18"/>
          <w:color w:val="auto"/>
        </w:rPr>
      </w:pPr>
    </w:p>
    <w:p>
      <w:pPr>
        <w:ind w:left="320" w:hanging="316"/>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28"/>
        <w:spacing w:after="0" w:line="270" w:lineRule="auto"/>
        <w:tabs>
          <w:tab w:leader="none" w:pos="803"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Indemnification of the Underwriters</w:t>
      </w:r>
      <w:r>
        <w:rPr>
          <w:rFonts w:ascii="Arial" w:cs="Arial" w:eastAsia="Arial" w:hAnsi="Arial"/>
          <w:sz w:val="17"/>
          <w:szCs w:val="17"/>
          <w:color w:val="auto"/>
        </w:rPr>
        <w:t>. The Issuers and the Guarantors jointly and severally agree to indemnify and hold harmless each Underwriter, its affiliates, agents, employees, directors and officers and each person, if any, who controls such Underwriter within the meaning of Section 15 of the Securities Act or Section 20 of the Exchange Act, from and against any and all losses, claims, damages and liabilities (including, without limitation, reasonable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Preliminary Prospectus, any of the other Time of Sale Information, any Issuer Free Writing Prospectus, the Investor Presentation or the Prospectus (or any amendment or supplement thereto) or any omission or alleged omission to state therein a material fact necessary in order to make the state-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9" w:name="page30"/>
    <w:bookmarkEnd w:id="29"/>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ments therein, in the light of the circumstances under which they were made, not misleading, except insofar as such losses, claims, damages or liabilities arise out of, or are based upon, any untrue statement or omission or alleged untrue statement or omission made in reliance upon and in conformity with any information relating to any Underwriter furnished to the Issuers in writing by such Underwriter through Citigroup Global Markets Inc. and Deutsche Bank Securities Inc. expressly for use therein;</w:t>
      </w:r>
    </w:p>
    <w:p>
      <w:pPr>
        <w:spacing w:after="0" w:line="79" w:lineRule="exact"/>
        <w:rPr>
          <w:sz w:val="20"/>
          <w:szCs w:val="20"/>
          <w:color w:val="auto"/>
        </w:rPr>
      </w:pPr>
    </w:p>
    <w:p>
      <w:pPr>
        <w:ind w:firstLine="428"/>
        <w:spacing w:after="0" w:line="269" w:lineRule="auto"/>
        <w:tabs>
          <w:tab w:leader="none" w:pos="81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Indemnification of the Issuers and the Guarantors</w:t>
      </w:r>
      <w:r>
        <w:rPr>
          <w:rFonts w:ascii="Arial" w:cs="Arial" w:eastAsia="Arial" w:hAnsi="Arial"/>
          <w:sz w:val="17"/>
          <w:szCs w:val="17"/>
          <w:color w:val="auto"/>
        </w:rPr>
        <w:t>. Each Underwriter agrees, severally and not jointly, to indemnify and hold harmless each Issuer, the Guarantors, each of their respective affiliates, officers, directors, employees, members, managers and agents, and each person, if any, who controls an Issuer or the Guarantors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Issuers in writing by such Underwriter through Citigroup Global Markets Inc. and Deutsche Bank Securities Inc. expressly for use in the Registration Statement, the Preliminary Prospectus, any of the other Time of Sale Information, any Issuer Free Writing Prospectus or the Prospectus (or any amendment or supplement thereto), it being understood and agreed that the only such information consists of the following: in the Preliminary Prospectus and the Prospectus the fourth sentence of the second paragraph, the third paragraph, the second sentence of the fourth paragraph and the first through fifth sentences of the sixth paragraph under the heading “Underwriting;”</w:t>
      </w:r>
    </w:p>
    <w:p>
      <w:pPr>
        <w:spacing w:after="0" w:line="74" w:lineRule="exact"/>
        <w:rPr>
          <w:rFonts w:ascii="Arial" w:cs="Arial" w:eastAsia="Arial" w:hAnsi="Arial"/>
          <w:sz w:val="17"/>
          <w:szCs w:val="17"/>
          <w:color w:val="auto"/>
        </w:rPr>
      </w:pPr>
    </w:p>
    <w:p>
      <w:pPr>
        <w:ind w:right="80" w:firstLine="428"/>
        <w:spacing w:after="0" w:line="285" w:lineRule="auto"/>
        <w:tabs>
          <w:tab w:leader="none" w:pos="80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Notice and Procedures</w:t>
      </w:r>
      <w:r>
        <w:rPr>
          <w:rFonts w:ascii="Arial" w:cs="Arial" w:eastAsia="Arial" w:hAnsi="Arial"/>
          <w:sz w:val="16"/>
          <w:szCs w:val="16"/>
          <w:color w:val="auto"/>
        </w:rPr>
        <w:t>.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Arial" w:cs="Arial" w:eastAsia="Arial" w:hAnsi="Arial"/>
          <w:sz w:val="16"/>
          <w:szCs w:val="16"/>
          <w:u w:val="single" w:color="auto"/>
          <w:color w:val="auto"/>
        </w:rPr>
        <w:t>Indemnified Person</w:t>
      </w:r>
      <w:r>
        <w:rPr>
          <w:rFonts w:ascii="Arial" w:cs="Arial" w:eastAsia="Arial" w:hAnsi="Arial"/>
          <w:sz w:val="16"/>
          <w:szCs w:val="16"/>
          <w:color w:val="auto"/>
        </w:rPr>
        <w:t>”) shall promptly notify the person against whom such indemnification may be sought (the “</w:t>
      </w:r>
      <w:r>
        <w:rPr>
          <w:rFonts w:ascii="Arial" w:cs="Arial" w:eastAsia="Arial" w:hAnsi="Arial"/>
          <w:sz w:val="16"/>
          <w:szCs w:val="16"/>
          <w:u w:val="single" w:color="auto"/>
          <w:color w:val="auto"/>
        </w:rPr>
        <w:t>Indemnifying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w:t>
      </w:r>
      <w:r>
        <w:rPr>
          <w:rFonts w:ascii="Arial" w:cs="Arial" w:eastAsia="Arial" w:hAnsi="Arial"/>
          <w:sz w:val="16"/>
          <w:szCs w:val="16"/>
          <w:color w:val="auto"/>
        </w:rPr>
        <w:t>”) in writing; provided that the failure to notify the Indemnifying Person shall not relieve it from any liability that it may have under paragraph (a) or (b) of this Section 9 except to the extent that it has been materially prejudiced (through the forfeiture of substantive rights or defenses) by such failure; and provided, further, that the failure to notify the Indemnifying Person shall not relieve it from any liability that it may have to an Indemnified Person otherwise than under paragraph (a) or (b) of this Section 9. If any such proceeding shall be brought or asserted against an Indemnified Person and it shall have notified the Indemnifying Person of the commencement thereof, the Indemnifying Person shall retain counsel reasonably satisfactory to the Indemnified Person to represent the Indemnified Person and any others entitled to indemnification pursuant to this Section 9 that the Indemnifying Person may designate in such proceeding and shall pay the reasonable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which if raised in a proceeding involving both parties would be inappropriate under applicable legal or ethical standards due to actual or potential differing interests between it and the Indemnifying Person; or (iv) the named parties in any such proceeding (including any impleaded parties) include both the Indemnifying Person and the Indemnified Person and representation of both parties by the same counsel would be inappropriate under applicable legal or ethical standards due to actual or potential differing interests between them. It is understood and agreed that the Indemni-</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0"/>
          </w:cols>
          <w:pgMar w:left="880" w:top="274" w:right="439" w:bottom="1440" w:gutter="0" w:footer="0" w:header="0"/>
        </w:sectPr>
      </w:pPr>
    </w:p>
    <w:bookmarkStart w:id="30" w:name="page31"/>
    <w:bookmarkEnd w:id="3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fying Person shall not, in connection with any proceeding or related proceeding in the same jurisdiction, be liable for the fees and expenses of more than one separate firm (in addition to any local counsel) for all Indemnified Persons, and that all such reasonable fees and expenses shall be reimbursed as they are incurred. Any such separate firm for any Underwriter, its affiliates, officers, directors, employees and any control persons of such Underwriter shall be designated in writing by Citigroup Global Markets Inc. and Deutsche Bank Securities Inc. and any such separate firm for the Issuers, the Guarantors and any of their respective affiliates, officers, directors, employees, members, managers and agents and any control persons of the Issuers and the Guarantors, as applicable, shall be designated in writing by the Issuers. The Indemnifying Person shall not be liable for any settlement of any proceeding effected without its written consent, but if settled with such consent or if there be a final judgment for the plaintiff, not subject to further appeal, the Indemnifying Person agrees to indemnify each Indemnified Person from and against any loss or liability provided for in such settlement or judgment. No Indemnifying Person shall, without the written consent of the Indemnified Person (which shall not be unreasonably withheld),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such Indemnified Person;</w:t>
      </w:r>
    </w:p>
    <w:p>
      <w:pPr>
        <w:spacing w:after="0" w:line="64" w:lineRule="exact"/>
        <w:rPr>
          <w:sz w:val="20"/>
          <w:szCs w:val="20"/>
          <w:color w:val="auto"/>
        </w:rPr>
      </w:pPr>
    </w:p>
    <w:p>
      <w:pPr>
        <w:ind w:left="820" w:hanging="39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paragraphs (a) and (b) above is unavailable to an Indemnified Person or</w:t>
      </w:r>
    </w:p>
    <w:p>
      <w:pPr>
        <w:spacing w:after="0" w:line="23" w:lineRule="exact"/>
        <w:rPr>
          <w:rFonts w:ascii="Arial" w:cs="Arial" w:eastAsia="Arial" w:hAnsi="Arial"/>
          <w:sz w:val="18"/>
          <w:szCs w:val="18"/>
          <w:color w:val="auto"/>
        </w:rPr>
      </w:pPr>
    </w:p>
    <w:p>
      <w:pPr>
        <w:ind w:right="40"/>
        <w:spacing w:after="0" w:line="285" w:lineRule="auto"/>
        <w:rPr>
          <w:rFonts w:ascii="Arial" w:cs="Arial" w:eastAsia="Arial" w:hAnsi="Arial"/>
          <w:sz w:val="18"/>
          <w:szCs w:val="18"/>
          <w:color w:val="auto"/>
        </w:rPr>
      </w:pPr>
      <w:r>
        <w:rPr>
          <w:rFonts w:ascii="Arial" w:cs="Arial" w:eastAsia="Arial" w:hAnsi="Arial"/>
          <w:sz w:val="16"/>
          <w:szCs w:val="16"/>
          <w:color w:val="auto"/>
        </w:rPr>
        <w:t>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Issuers and the Guarantors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Issuers and the Guarantors on the one hand and the Underwriters on the other in connection with the statements or omissions that resulted in such losses, claims, damages or liabilities, as well as any other relevant equitable considerations. The relative benefits received by the Issuers and the Guarantors, on the one hand, and the Underwriters, on the other, shall be deemed to be in the same respective proportions as the net proceeds (before deducting expenses) received by the Issuers from the sale of the Securities and the total discounts and commissions received by the Underwriters in connection therewith, as provided in this Agreement, bear to the aggregate offering price of the Securities. The relative fault of the Issuers and the Guarantors, on the one hand, and the Underwriters, on the other, shall be determined by reference to, among other things, whether the untrue or alleged untrue statement of a material fact or the omission or alleged omission to state a material fact relates to information supplied by the Issuers or the Guarantors on the one hand or by the Underwriters on the other and the parties’ relative intent, knowledge, access to information and opportunity to correct or prevent such statement or omission;</w:t>
      </w:r>
    </w:p>
    <w:p>
      <w:pPr>
        <w:spacing w:after="0" w:line="60" w:lineRule="exact"/>
        <w:rPr>
          <w:rFonts w:ascii="Arial" w:cs="Arial" w:eastAsia="Arial" w:hAnsi="Arial"/>
          <w:sz w:val="18"/>
          <w:szCs w:val="18"/>
          <w:color w:val="auto"/>
        </w:rPr>
      </w:pPr>
    </w:p>
    <w:p>
      <w:pPr>
        <w:ind w:right="120" w:firstLine="428"/>
        <w:spacing w:after="0" w:line="257" w:lineRule="auto"/>
        <w:tabs>
          <w:tab w:leader="none" w:pos="80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Limitation on Liability</w:t>
      </w:r>
      <w:r>
        <w:rPr>
          <w:rFonts w:ascii="Arial" w:cs="Arial" w:eastAsia="Arial" w:hAnsi="Arial"/>
          <w:sz w:val="18"/>
          <w:szCs w:val="18"/>
          <w:color w:val="auto"/>
        </w:rPr>
        <w:t>. The Issuers, the Guarantors and the Underwriters each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0"/>
          </w:cols>
          <w:pgMar w:left="880" w:top="274" w:right="439" w:bottom="1440" w:gutter="0" w:footer="0" w:header="0"/>
        </w:sectPr>
      </w:pPr>
    </w:p>
    <w:bookmarkStart w:id="31" w:name="page32"/>
    <w:bookmarkEnd w:id="3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deemed to include, subject to the limitations set forth above, any legal or other expenses incurred by such Indemnified Person in connection with any such action or claim. Notwithstanding the provisions of this Section 9, in no event shall an Underwriter be required to contribute any amount in excess of the amount by which the total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in proportion to their respective purchase obligations hereunder and not joint; and</w:t>
      </w:r>
    </w:p>
    <w:p>
      <w:pPr>
        <w:spacing w:after="0" w:line="59" w:lineRule="exact"/>
        <w:rPr>
          <w:sz w:val="20"/>
          <w:szCs w:val="20"/>
          <w:color w:val="auto"/>
        </w:rPr>
      </w:pPr>
    </w:p>
    <w:p>
      <w:pPr>
        <w:ind w:right="160" w:firstLine="428"/>
        <w:spacing w:after="0" w:line="277" w:lineRule="auto"/>
        <w:tabs>
          <w:tab w:leader="none" w:pos="783"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Non-Exclusive Remedies</w:t>
      </w:r>
      <w:r>
        <w:rPr>
          <w:rFonts w:ascii="Arial" w:cs="Arial" w:eastAsia="Arial" w:hAnsi="Arial"/>
          <w:sz w:val="18"/>
          <w:szCs w:val="18"/>
          <w:color w:val="auto"/>
        </w:rPr>
        <w:t>. The remedies provided for in this Section 9 are not exclusive and shall not limit any rights or remedies that may otherwise be available to any Indemnified Person at law or in equity.</w:t>
      </w:r>
    </w:p>
    <w:p>
      <w:pPr>
        <w:spacing w:after="0" w:line="170" w:lineRule="exact"/>
        <w:rPr>
          <w:rFonts w:ascii="Arial" w:cs="Arial" w:eastAsia="Arial" w:hAnsi="Arial"/>
          <w:sz w:val="18"/>
          <w:szCs w:val="18"/>
          <w:color w:val="auto"/>
        </w:rPr>
      </w:pPr>
    </w:p>
    <w:p>
      <w:pPr>
        <w:ind w:left="400" w:hanging="396"/>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28"/>
        <w:spacing w:after="0" w:line="269" w:lineRule="auto"/>
        <w:tabs>
          <w:tab w:leader="none" w:pos="803" w:val="left"/>
        </w:tabs>
        <w:numPr>
          <w:ilvl w:val="1"/>
          <w:numId w:val="34"/>
        </w:numPr>
        <w:rPr>
          <w:rFonts w:ascii="Arial" w:cs="Arial" w:eastAsia="Arial" w:hAnsi="Arial"/>
          <w:sz w:val="17"/>
          <w:szCs w:val="17"/>
          <w:color w:val="auto"/>
        </w:rPr>
      </w:pPr>
      <w:r>
        <w:rPr>
          <w:rFonts w:ascii="Arial" w:cs="Arial" w:eastAsia="Arial" w:hAnsi="Arial"/>
          <w:sz w:val="17"/>
          <w:szCs w:val="17"/>
          <w:color w:val="auto"/>
        </w:rPr>
        <w:t>If any Underwriter shall default in its obligation to purchase the Securities which it has agreed to purchase hereunder, you may in your discretion arrange for you or another party or other parties to purchase such Securities on the terms contained herein. If within thirty-six hours after such default by any Underwriter you do not arrange for the purchase of such Securities, then the Issuers shall be entitled to a further period of thirty-six hours within which to procure another party or other parties satisfactory to you to purchase such Securities on such terms. In the event that, within the respective prescribed periods, you notify the Issuers that you have so arranged for the purchase of such Securities, or the Issuers notify you that they have so arranged for the purchase of such Securities, you or the Issuers shall have the right to postpone the Time of Delivery for a period of not more than seven days, in order to effect whatever changes may thereby be made necessary in the Registration Statement, the Time of Sale Information, the Prospectus, or in any other documents or arrangements, and the Issuers agree to prepare promptly any amendments to the Registration Statement, the Time of Sale Information or the Prospectus which in your opinion may thereby be made necessary. The term “Underwriter” as used in this Agreement shall include any person substituted under this Section 10 with like effect as if such person had originally been a party to this Agreement with respect to such Securities;</w:t>
      </w:r>
    </w:p>
    <w:p>
      <w:pPr>
        <w:spacing w:after="0" w:line="74" w:lineRule="exact"/>
        <w:rPr>
          <w:rFonts w:ascii="Arial" w:cs="Arial" w:eastAsia="Arial" w:hAnsi="Arial"/>
          <w:sz w:val="17"/>
          <w:szCs w:val="17"/>
          <w:color w:val="auto"/>
        </w:rPr>
      </w:pPr>
    </w:p>
    <w:p>
      <w:pPr>
        <w:ind w:right="20" w:firstLine="428"/>
        <w:spacing w:after="0" w:line="272" w:lineRule="auto"/>
        <w:tabs>
          <w:tab w:leader="none" w:pos="813" w:val="left"/>
        </w:tabs>
        <w:numPr>
          <w:ilvl w:val="1"/>
          <w:numId w:val="34"/>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you and the Issuers as provided in subsection (a) above, the aggregate principal amount of such Securities which remains unpurchased does not exceed one-tenth of the aggregate principal amount of all the Securities, then the Issuers shall have the right to require each non-defaulting Underwriter to purchase the principal amount of Securities which such Underwriter agreed to purchase hereunder and, in addition, to require each non-defaulting Underwriter to purchase its pro rata share (based on the principal amount of Securities which such Underwriter agreed to purchase hereunder) of the Securities of such defaulting Underwriter or Underwriters for which such arrangements have not been made; but nothing herein shall relieve a defaulting Underwriter from liability for its default; and</w:t>
      </w:r>
    </w:p>
    <w:p>
      <w:pPr>
        <w:spacing w:after="0" w:line="69" w:lineRule="exact"/>
        <w:rPr>
          <w:rFonts w:ascii="Arial" w:cs="Arial" w:eastAsia="Arial" w:hAnsi="Arial"/>
          <w:sz w:val="17"/>
          <w:szCs w:val="17"/>
          <w:color w:val="auto"/>
        </w:rPr>
      </w:pPr>
    </w:p>
    <w:p>
      <w:pPr>
        <w:ind w:right="40" w:firstLine="428"/>
        <w:spacing w:after="0" w:line="259" w:lineRule="auto"/>
        <w:tabs>
          <w:tab w:leader="none" w:pos="803"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Securities of a defaulting Underwriter or Underwriters by you and the Issuers as provided in subsection (a) above, the aggregate principal amount of Securities which remains unpurchased exceeds one-tenth of the aggregate principal amount of all the Securities, or if the Issuers shall not exercise the right described in subsection (b) above to require non-defaulting Underwriters to purchase</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80" w:top="274" w:right="439" w:bottom="1440" w:gutter="0" w:footer="0" w:header="0"/>
        </w:sectPr>
      </w:pPr>
    </w:p>
    <w:bookmarkStart w:id="32" w:name="page33"/>
    <w:bookmarkEnd w:id="32"/>
    <w:p>
      <w:pPr>
        <w:ind w:left="44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of a defaulting Underwriter or Underwriters, then this Agreement shall thereupon terminate, without liability on the part of any non-defaulting Underwriter or the Issuers or the Guarantors, except for the expenses to be borne by the Issuers, the Guarantors and the Underwriters as provided in Section 6 hereof and the indemnity and contribution agreements in Section 9 hereof; but nothing herein shall relieve a defaulting Underwriter from liability for its default.</w:t>
      </w:r>
    </w:p>
    <w:p>
      <w:pPr>
        <w:spacing w:after="0" w:line="187" w:lineRule="exact"/>
        <w:rPr>
          <w:sz w:val="20"/>
          <w:szCs w:val="20"/>
          <w:color w:val="auto"/>
        </w:rPr>
      </w:pPr>
    </w:p>
    <w:p>
      <w:pPr>
        <w:ind w:right="40" w:firstLine="444"/>
        <w:spacing w:after="0" w:line="291" w:lineRule="auto"/>
        <w:tabs>
          <w:tab w:leader="none" w:pos="83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Representations and Indemnities to Survive</w:t>
      </w:r>
      <w:r>
        <w:rPr>
          <w:rFonts w:ascii="Arial" w:cs="Arial" w:eastAsia="Arial" w:hAnsi="Arial"/>
          <w:sz w:val="16"/>
          <w:szCs w:val="16"/>
          <w:color w:val="auto"/>
        </w:rPr>
        <w:t>. The respective indemnities, agreements, representations, warranties and other statements of the Issuers, the Guarantors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its affiliates, agents, employees, directors and officers and each person, if any, who controls such Underwriter within the meaning of Section 15 of the Securities Act or Section 20 of the Exchange Act, or the Issuers, the Guarantors, or any of their respective affiliates, officers, directors, employees, members, managers and agents, and each person, if any, who controls an Issuer or the Guarantors within the meaning of Section 15 of the Securities Act or Section 20 of the Exchange Act, and shall survive delivery of and payment for the Securities or the termination of this Agreement.</w:t>
      </w:r>
    </w:p>
    <w:p>
      <w:pPr>
        <w:spacing w:after="0" w:line="167" w:lineRule="exact"/>
        <w:rPr>
          <w:rFonts w:ascii="Arial" w:cs="Arial" w:eastAsia="Arial" w:hAnsi="Arial"/>
          <w:sz w:val="16"/>
          <w:szCs w:val="16"/>
          <w:color w:val="auto"/>
        </w:rPr>
      </w:pPr>
    </w:p>
    <w:p>
      <w:pPr>
        <w:ind w:right="40" w:firstLine="444"/>
        <w:spacing w:after="0" w:line="289" w:lineRule="auto"/>
        <w:tabs>
          <w:tab w:leader="none" w:pos="84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Issuers, if after the execution and delivery of this Agreement and on or prior to the Time of Delivery (i) trading generally shall have been suspended or materially limited on the New York Stock Exchange; (ii) trading of any securities issued or guaranteed by the Issuers, the Guarantors or Charter shall have been suspended on any exchange or in any over-the-counter market; (iii) a general moratorium on commercial banking activities shall have been declared by federal or New York State authorities;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Registration Statement, the Time of Sale Information and the Prospectus; or (v) there shall have occurred any major disruption of settlements of securities, payment, or clearance services in the United States or any other country where such securities are listed.</w:t>
      </w:r>
    </w:p>
    <w:p>
      <w:pPr>
        <w:spacing w:after="0" w:line="166" w:lineRule="exact"/>
        <w:rPr>
          <w:rFonts w:ascii="Arial" w:cs="Arial" w:eastAsia="Arial" w:hAnsi="Arial"/>
          <w:sz w:val="16"/>
          <w:szCs w:val="16"/>
          <w:color w:val="auto"/>
        </w:rPr>
      </w:pPr>
    </w:p>
    <w:p>
      <w:pPr>
        <w:jc w:val="both"/>
        <w:ind w:firstLine="444"/>
        <w:spacing w:after="0" w:line="264" w:lineRule="auto"/>
        <w:tabs>
          <w:tab w:leader="none" w:pos="84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Reliance and Notices</w:t>
      </w:r>
      <w:r>
        <w:rPr>
          <w:rFonts w:ascii="Arial" w:cs="Arial" w:eastAsia="Arial" w:hAnsi="Arial"/>
          <w:sz w:val="18"/>
          <w:szCs w:val="18"/>
          <w:color w:val="auto"/>
        </w:rPr>
        <w:t>. In all dealings hereunder, you shall act on behalf of each of the Underwriters, and the parties hereto shall be entitled to act and rely upon any statement, request, notice or agreement on behalf of any Underwriter made or given by you jointly or by Citigroup Global Markets Inc. and Deutsche Bank Securities Inc. on behalf of you as Underwriters.</w:t>
      </w:r>
    </w:p>
    <w:p>
      <w:pPr>
        <w:spacing w:after="0" w:line="181"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(or any of them) shall be delivered or sent by mail or facsimile transmission to you as Underwriters (or an Underwriter) to Citigroup Global Markets Inc. at 388 Greenwich Street, New York, New York 10013, Attention: General Counsel, facsimile number 1-646-291-1469 and Deutsche Bank Securities Inc. at 60 Wall Street, New York, New York 10005, Attention: Debt Capital Markets, with a copy to General Counsel, facsimile number 1-646-374-1071, and if to the Issuers shall be delivered or sent by mail or facsimile transmission to the address of the Issuers set forth in the Prospectus, Attention: Secretary. Any such statements, requests, notices or agreements shall take effect upon receipt thereof.</w:t>
      </w:r>
    </w:p>
    <w:p>
      <w:pPr>
        <w:spacing w:after="0" w:line="193" w:lineRule="exact"/>
        <w:rPr>
          <w:sz w:val="20"/>
          <w:szCs w:val="20"/>
          <w:color w:val="auto"/>
        </w:rPr>
      </w:pPr>
    </w:p>
    <w:p>
      <w:pPr>
        <w:ind w:firstLine="444"/>
        <w:spacing w:after="0" w:line="259" w:lineRule="auto"/>
        <w:tabs>
          <w:tab w:leader="none" w:pos="846"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and inure solely to the benefit of, the Underwriters, the Issuers, the Guarantors and, to the extent provided in Sections 9 and 11 hereof, the respective affiliates, officers, directors, employees, members, managers and agents of the Issuers and the Guarantors and the affiliates, agents, employees, directors and officers of the Underwriters and each person who controls the Issuers or any Underwriter within the meaning of Section 15 of the Securi-</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3" w:name="page34"/>
    <w:bookmarkEnd w:id="3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ties Act or Section 20 of the Exchange Act,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181" w:lineRule="exact"/>
        <w:rPr>
          <w:sz w:val="20"/>
          <w:szCs w:val="20"/>
          <w:color w:val="auto"/>
        </w:rPr>
      </w:pPr>
    </w:p>
    <w:p>
      <w:pPr>
        <w:ind w:left="840" w:hanging="396"/>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Timeliness</w:t>
      </w:r>
      <w:r>
        <w:rPr>
          <w:rFonts w:ascii="Arial" w:cs="Arial" w:eastAsia="Arial" w:hAnsi="Arial"/>
          <w:sz w:val="18"/>
          <w:szCs w:val="18"/>
          <w:color w:val="auto"/>
        </w:rPr>
        <w:t>. Time shall be of the essence in this Agreement.</w:t>
      </w:r>
    </w:p>
    <w:p>
      <w:pPr>
        <w:spacing w:after="0" w:line="225" w:lineRule="exact"/>
        <w:rPr>
          <w:rFonts w:ascii="Arial" w:cs="Arial" w:eastAsia="Arial" w:hAnsi="Arial"/>
          <w:sz w:val="18"/>
          <w:szCs w:val="18"/>
          <w:color w:val="auto"/>
        </w:rPr>
      </w:pPr>
    </w:p>
    <w:p>
      <w:pPr>
        <w:ind w:right="860" w:firstLine="444"/>
        <w:spacing w:after="0" w:line="277" w:lineRule="auto"/>
        <w:tabs>
          <w:tab w:leader="none" w:pos="8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Authority of the Representatives</w:t>
      </w:r>
      <w:r>
        <w:rPr>
          <w:rFonts w:ascii="Arial" w:cs="Arial" w:eastAsia="Arial" w:hAnsi="Arial"/>
          <w:sz w:val="18"/>
          <w:szCs w:val="18"/>
          <w:color w:val="auto"/>
        </w:rPr>
        <w:t>. Any action by the Underwriters hereunder may be taken by any Representative on behalf of the Underwriters, and any such action taken by such Representative shall be binding upon the Underwriters.</w:t>
      </w:r>
    </w:p>
    <w:p>
      <w:pPr>
        <w:spacing w:after="0" w:line="170" w:lineRule="exact"/>
        <w:rPr>
          <w:rFonts w:ascii="Arial" w:cs="Arial" w:eastAsia="Arial" w:hAnsi="Arial"/>
          <w:sz w:val="18"/>
          <w:szCs w:val="18"/>
          <w:color w:val="auto"/>
        </w:rPr>
      </w:pPr>
    </w:p>
    <w:p>
      <w:pPr>
        <w:ind w:right="120" w:firstLine="444"/>
        <w:spacing w:after="0" w:line="277" w:lineRule="auto"/>
        <w:tabs>
          <w:tab w:leader="none" w:pos="8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70" w:lineRule="exact"/>
        <w:rPr>
          <w:rFonts w:ascii="Arial" w:cs="Arial" w:eastAsia="Arial" w:hAnsi="Arial"/>
          <w:sz w:val="18"/>
          <w:szCs w:val="18"/>
          <w:color w:val="auto"/>
        </w:rPr>
      </w:pPr>
    </w:p>
    <w:p>
      <w:pPr>
        <w:ind w:firstLine="444"/>
        <w:spacing w:after="0" w:line="264" w:lineRule="auto"/>
        <w:tabs>
          <w:tab w:leader="none" w:pos="8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any one or more of the parties hereto in any number of counterparts (which may include counterparts delivered by any standard form of telecommunication), each of which shall be deemed to be an original, but all such respective counterparts shall together constitute one and the same instrument.</w:t>
      </w:r>
    </w:p>
    <w:p>
      <w:pPr>
        <w:spacing w:after="0" w:line="181" w:lineRule="exact"/>
        <w:rPr>
          <w:rFonts w:ascii="Arial" w:cs="Arial" w:eastAsia="Arial" w:hAnsi="Arial"/>
          <w:sz w:val="18"/>
          <w:szCs w:val="18"/>
          <w:color w:val="auto"/>
        </w:rPr>
      </w:pPr>
    </w:p>
    <w:p>
      <w:pPr>
        <w:ind w:right="100" w:firstLine="444"/>
        <w:spacing w:after="0" w:line="277" w:lineRule="auto"/>
        <w:tabs>
          <w:tab w:leader="none" w:pos="8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included for convenience of reference only and are not intended to be part of, or to affect the meaning or interpretation of, this Agreement.</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300" w:firstLine="428"/>
        <w:spacing w:after="0" w:line="302" w:lineRule="auto"/>
        <w:tabs>
          <w:tab w:leader="none" w:pos="1243"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46" w:lineRule="exact"/>
        <w:rPr>
          <w:rFonts w:ascii="Arial" w:cs="Arial" w:eastAsia="Arial" w:hAnsi="Arial"/>
          <w:sz w:val="16"/>
          <w:szCs w:val="16"/>
          <w:color w:val="auto"/>
        </w:rPr>
      </w:pPr>
    </w:p>
    <w:p>
      <w:pPr>
        <w:ind w:left="440" w:right="220" w:firstLine="428"/>
        <w:spacing w:after="0" w:line="302" w:lineRule="auto"/>
        <w:tabs>
          <w:tab w:leader="none" w:pos="1253"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46" w:lineRule="exact"/>
        <w:rPr>
          <w:rFonts w:ascii="Arial" w:cs="Arial" w:eastAsia="Arial" w:hAnsi="Arial"/>
          <w:sz w:val="16"/>
          <w:szCs w:val="16"/>
          <w:color w:val="auto"/>
        </w:rPr>
      </w:pPr>
    </w:p>
    <w:p>
      <w:pPr>
        <w:ind w:left="440" w:right="140" w:firstLine="428"/>
        <w:spacing w:after="0" w:line="291" w:lineRule="auto"/>
        <w:tabs>
          <w:tab w:leader="none" w:pos="1243" w:val="left"/>
        </w:tabs>
        <w:numPr>
          <w:ilvl w:val="1"/>
          <w:numId w:val="37"/>
        </w:numPr>
        <w:rPr>
          <w:rFonts w:ascii="Arial" w:cs="Arial" w:eastAsia="Arial" w:hAnsi="Arial"/>
          <w:sz w:val="16"/>
          <w:szCs w:val="16"/>
          <w:color w:val="auto"/>
        </w:rPr>
      </w:pPr>
      <w:r>
        <w:rPr>
          <w:rFonts w:ascii="Arial" w:cs="Arial" w:eastAsia="Arial" w:hAnsi="Arial"/>
          <w:sz w:val="16"/>
          <w:szCs w:val="16"/>
          <w:color w:val="auto"/>
        </w:rPr>
        <w:t>For purposes of this Section 20, (i) the term “BHC Act Affiliate” has the meaning assigned to the term “affiliate” in, and shall be interpreted in accordance with, 12 U.S.C. § 1841(k); (ii) “Covered Entity” means any of the following: (x) a “covered entity” as that term is defined in, and interpreted in accordance with, 12 C.F.R. § 252.82(b), (y) a “covered bank” as that term is defined in, and interpreted in accordance with, 12 C.F.R. § 47.3(b), or a “covered FSI” as that term is defined in, and interpreted in accordance with, 12 C.F.R. § 382.2(b); (iii) “Default Right” has the meaning assigned to that term in, and shall be interpreted in accordance with, 12 C.F.R. §§ 252.81, 47.2 or 382.1, as applicable; and (iv) “U.S. Special Resolution Regime” means each of (x) the Federal Deposit Insurance Act and the regulations promulgated thereunder and (y) Title II of the Dodd-Frank Wall Street Reform and Consumer Protection Act and the regulations promulgated thereunder.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Pages Follow]</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019"/>
          </w:cols>
          <w:pgMar w:left="1440" w:top="274" w:right="1440" w:bottom="1440" w:gutter="0" w:footer="0" w:header="0"/>
          <w:type w:val="continuous"/>
        </w:sectPr>
      </w:pPr>
    </w:p>
    <w:bookmarkStart w:id="35" w:name="page36"/>
    <w:bookmarkEnd w:id="3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CHARTER COMMUNICATIONS OPERATING,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an Issuer</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Charles Fisher</w:t>
      </w:r>
    </w:p>
    <w:p>
      <w:pPr>
        <w:spacing w:after="0" w:line="23" w:lineRule="exact"/>
        <w:rPr>
          <w:sz w:val="20"/>
          <w:szCs w:val="20"/>
          <w:color w:val="auto"/>
        </w:rPr>
      </w:pPr>
    </w:p>
    <w:p>
      <w:pPr>
        <w:ind w:left="6420"/>
        <w:spacing w:after="0"/>
        <w:tabs>
          <w:tab w:leader="none" w:pos="7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-130810</wp:posOffset>
            </wp:positionV>
            <wp:extent cx="29584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6420"/>
        <w:spacing w:after="0"/>
        <w:tabs>
          <w:tab w:leader="none" w:pos="7040" w:val="left"/>
        </w:tabs>
        <w:rPr>
          <w:sz w:val="20"/>
          <w:szCs w:val="20"/>
          <w:color w:val="auto"/>
        </w:rPr>
      </w:pPr>
      <w:r>
        <w:rPr>
          <w:rFonts w:ascii="Arial" w:cs="Arial" w:eastAsia="Arial" w:hAnsi="Arial"/>
          <w:sz w:val="18"/>
          <w:szCs w:val="18"/>
          <w:color w:val="auto"/>
        </w:rPr>
        <w:t>Title:</w:t>
        <w:tab/>
        <w:t>Senior Vice President, Corporate Finance</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CHARTER COMMUNICATIONS OPERATING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CAPITAL CORP.,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an Issuer</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Charles Fisher</w:t>
      </w:r>
    </w:p>
    <w:p>
      <w:pPr>
        <w:spacing w:after="0" w:line="23" w:lineRule="exact"/>
        <w:rPr>
          <w:sz w:val="20"/>
          <w:szCs w:val="20"/>
          <w:color w:val="auto"/>
        </w:rPr>
      </w:pPr>
    </w:p>
    <w:p>
      <w:pPr>
        <w:ind w:left="6420"/>
        <w:spacing w:after="0"/>
        <w:tabs>
          <w:tab w:leader="none" w:pos="7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-130810</wp:posOffset>
            </wp:positionV>
            <wp:extent cx="29584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6420"/>
        <w:spacing w:after="0"/>
        <w:tabs>
          <w:tab w:leader="none" w:pos="7040" w:val="left"/>
        </w:tabs>
        <w:rPr>
          <w:sz w:val="20"/>
          <w:szCs w:val="20"/>
          <w:color w:val="auto"/>
        </w:rPr>
      </w:pPr>
      <w:r>
        <w:rPr>
          <w:rFonts w:ascii="Arial" w:cs="Arial" w:eastAsia="Arial" w:hAnsi="Arial"/>
          <w:sz w:val="18"/>
          <w:szCs w:val="18"/>
          <w:color w:val="auto"/>
        </w:rPr>
        <w:t>Title:</w:t>
        <w:tab/>
        <w:t>Senior Vice President, Corporate Finance</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CCO HOLDINGS,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 Guarantor</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Charles Fisher</w:t>
      </w:r>
    </w:p>
    <w:p>
      <w:pPr>
        <w:spacing w:after="0" w:line="23" w:lineRule="exact"/>
        <w:rPr>
          <w:sz w:val="20"/>
          <w:szCs w:val="20"/>
          <w:color w:val="auto"/>
        </w:rPr>
      </w:pPr>
    </w:p>
    <w:p>
      <w:pPr>
        <w:ind w:left="6420"/>
        <w:spacing w:after="0"/>
        <w:tabs>
          <w:tab w:leader="none" w:pos="7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-130810</wp:posOffset>
            </wp:positionV>
            <wp:extent cx="29584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6420"/>
        <w:spacing w:after="0"/>
        <w:tabs>
          <w:tab w:leader="none" w:pos="7040" w:val="left"/>
        </w:tabs>
        <w:rPr>
          <w:sz w:val="20"/>
          <w:szCs w:val="20"/>
          <w:color w:val="auto"/>
        </w:rPr>
      </w:pPr>
      <w:r>
        <w:rPr>
          <w:rFonts w:ascii="Arial" w:cs="Arial" w:eastAsia="Arial" w:hAnsi="Arial"/>
          <w:sz w:val="18"/>
          <w:szCs w:val="18"/>
          <w:color w:val="auto"/>
        </w:rPr>
        <w:t>Title:</w:t>
        <w:tab/>
        <w:t>Senior Vice President, Corporate Finance</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SUBSIDIARY GUARANTORS LISTED 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SCHEDULE II HERETO,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Guarantors</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Charles Fisher</w:t>
      </w:r>
    </w:p>
    <w:p>
      <w:pPr>
        <w:spacing w:after="0" w:line="23" w:lineRule="exact"/>
        <w:rPr>
          <w:sz w:val="20"/>
          <w:szCs w:val="20"/>
          <w:color w:val="auto"/>
        </w:rPr>
      </w:pPr>
    </w:p>
    <w:p>
      <w:pPr>
        <w:ind w:left="6420"/>
        <w:spacing w:after="0"/>
        <w:tabs>
          <w:tab w:leader="none" w:pos="7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Charles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-130810</wp:posOffset>
            </wp:positionV>
            <wp:extent cx="29584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3540" w:right="620" w:firstLine="2874"/>
        <w:spacing w:after="0" w:line="433" w:lineRule="auto"/>
        <w:rPr>
          <w:sz w:val="20"/>
          <w:szCs w:val="20"/>
          <w:color w:val="auto"/>
        </w:rPr>
      </w:pPr>
      <w:r>
        <w:rPr>
          <w:rFonts w:ascii="Arial" w:cs="Arial" w:eastAsia="Arial" w:hAnsi="Arial"/>
          <w:sz w:val="18"/>
          <w:szCs w:val="18"/>
          <w:color w:val="auto"/>
        </w:rPr>
        <w:t>Title: Senior Vice President, Corporate Finance [Charter - Signature Page to Underwriting Agreement]</w:t>
      </w:r>
    </w:p>
    <w:p>
      <w:pPr>
        <w:sectPr>
          <w:pgSz w:w="11900" w:h="16838" w:orient="portrait"/>
          <w:cols w:equalWidth="0" w:num="1">
            <w:col w:w="10680"/>
          </w:cols>
          <w:pgMar w:left="440" w:top="274" w:right="779" w:bottom="1440" w:gutter="0" w:footer="0" w:header="0"/>
        </w:sectPr>
      </w:pPr>
    </w:p>
    <w:bookmarkStart w:id="36" w:name="page37"/>
    <w:bookmarkEnd w:id="3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Acting severally on behalf of itself and the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several Underwriters named in Schedule I hereto.</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Adam D. Bordner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[Charter - Signature Page to Underwriting Agreement]</w:t>
      </w:r>
    </w:p>
    <w:p>
      <w:pPr>
        <w:sectPr>
          <w:pgSz w:w="11900" w:h="16838" w:orient="portrait"/>
          <w:cols w:equalWidth="0" w:num="1">
            <w:col w:w="9180"/>
          </w:cols>
          <w:pgMar w:left="1440" w:top="274" w:right="1279" w:bottom="1440" w:gutter="0" w:footer="0" w:header="0"/>
        </w:sectPr>
      </w:pPr>
    </w:p>
    <w:bookmarkStart w:id="37" w:name="page38"/>
    <w:bookmarkEnd w:id="3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Acting severally on behalf of itself and the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several Underwriters named in Schedule I hereto.</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Ritu Ketkar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Ritu Ketkar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Anguel Zaprianov</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Anguel Zaprianov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-130810</wp:posOffset>
            </wp:positionV>
            <wp:extent cx="26244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[Charter - Signature Page to Underwriting Agreement]</w:t>
      </w:r>
    </w:p>
    <w:p>
      <w:pPr>
        <w:sectPr>
          <w:pgSz w:w="11900" w:h="16838" w:orient="portrait"/>
          <w:cols w:equalWidth="0" w:num="1">
            <w:col w:w="9180"/>
          </w:cols>
          <w:pgMar w:left="1440" w:top="274" w:right="127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w w:val="96"/>
              </w:rPr>
              <w:t>SCHEDULE I</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32"/>
              <w:spacing w:after="0"/>
              <w:rPr>
                <w:sz w:val="20"/>
                <w:szCs w:val="20"/>
                <w:color w:val="auto"/>
              </w:rPr>
            </w:pPr>
            <w:r>
              <w:rPr>
                <w:rFonts w:ascii="Arial" w:cs="Arial" w:eastAsia="Arial" w:hAnsi="Arial"/>
                <w:sz w:val="14"/>
                <w:szCs w:val="14"/>
                <w:color w:val="auto"/>
                <w:w w:val="92"/>
              </w:rPr>
              <w:t>Aggregate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Principal Amount</w:t>
            </w:r>
          </w:p>
        </w:tc>
        <w:tc>
          <w:tcPr>
            <w:tcW w:w="1360" w:type="dxa"/>
            <w:vAlign w:val="bottom"/>
            <w:gridSpan w:val="4"/>
          </w:tcPr>
          <w:p>
            <w:pPr>
              <w:jc w:val="center"/>
              <w:ind w:left="91"/>
              <w:spacing w:after="0" w:line="149" w:lineRule="exact"/>
              <w:rPr>
                <w:sz w:val="20"/>
                <w:szCs w:val="20"/>
                <w:color w:val="auto"/>
              </w:rPr>
            </w:pPr>
            <w:r>
              <w:rPr>
                <w:rFonts w:ascii="Arial" w:cs="Arial" w:eastAsia="Arial" w:hAnsi="Arial"/>
                <w:sz w:val="14"/>
                <w:szCs w:val="14"/>
                <w:color w:val="auto"/>
                <w:w w:val="96"/>
              </w:rPr>
              <w:t>Principal Amount</w:t>
            </w:r>
          </w:p>
        </w:tc>
        <w:tc>
          <w:tcPr>
            <w:tcW w:w="0" w:type="dxa"/>
            <w:vAlign w:val="bottom"/>
          </w:tcPr>
          <w:p>
            <w:pPr>
              <w:spacing w:after="0"/>
              <w:rPr>
                <w:sz w:val="1"/>
                <w:szCs w:val="1"/>
                <w:color w:val="auto"/>
              </w:rPr>
            </w:pPr>
          </w:p>
        </w:tc>
      </w:tr>
      <w:tr>
        <w:trPr>
          <w:trHeight w:val="149"/>
        </w:trPr>
        <w:tc>
          <w:tcPr>
            <w:tcW w:w="5660" w:type="dxa"/>
            <w:vAlign w:val="bottom"/>
            <w:gridSpan w:val="3"/>
            <w:vMerge w:val="restart"/>
          </w:tcPr>
          <w:p>
            <w:pPr>
              <w:spacing w:after="0"/>
              <w:rPr>
                <w:sz w:val="20"/>
                <w:szCs w:val="20"/>
                <w:color w:val="auto"/>
              </w:rPr>
            </w:pPr>
            <w:r>
              <w:rPr>
                <w:rFonts w:ascii="Arial" w:cs="Arial" w:eastAsia="Arial" w:hAnsi="Arial"/>
                <w:sz w:val="14"/>
                <w:szCs w:val="14"/>
                <w:color w:val="auto"/>
              </w:rPr>
              <w:t>Underwriters</w:t>
            </w: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4"/>
              </w:rPr>
              <w:t>of 2029 Notes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of 2048 Notes</w:t>
            </w:r>
          </w:p>
        </w:tc>
        <w:tc>
          <w:tcPr>
            <w:tcW w:w="0" w:type="dxa"/>
            <w:vAlign w:val="bottom"/>
          </w:tcPr>
          <w:p>
            <w:pPr>
              <w:spacing w:after="0"/>
              <w:rPr>
                <w:sz w:val="1"/>
                <w:szCs w:val="1"/>
                <w:color w:val="auto"/>
              </w:rPr>
            </w:pPr>
          </w:p>
        </w:tc>
      </w:tr>
      <w:tr>
        <w:trPr>
          <w:trHeight w:val="154"/>
        </w:trPr>
        <w:tc>
          <w:tcPr>
            <w:tcW w:w="5660" w:type="dxa"/>
            <w:vAlign w:val="bottom"/>
            <w:gridSpan w:val="3"/>
            <w:vMerge w:val="continue"/>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12"/>
              <w:spacing w:after="0" w:line="154" w:lineRule="exact"/>
              <w:rPr>
                <w:sz w:val="20"/>
                <w:szCs w:val="20"/>
                <w:color w:val="auto"/>
              </w:rPr>
            </w:pPr>
            <w:r>
              <w:rPr>
                <w:rFonts w:ascii="Arial" w:cs="Arial" w:eastAsia="Arial" w:hAnsi="Arial"/>
                <w:sz w:val="14"/>
                <w:szCs w:val="14"/>
                <w:color w:val="auto"/>
                <w:w w:val="88"/>
              </w:rPr>
              <w:t>to be Purchased</w:t>
            </w:r>
          </w:p>
        </w:tc>
        <w:tc>
          <w:tcPr>
            <w:tcW w:w="280" w:type="dxa"/>
            <w:vAlign w:val="bottom"/>
          </w:tcPr>
          <w:p>
            <w:pPr>
              <w:spacing w:after="0"/>
              <w:rPr>
                <w:sz w:val="13"/>
                <w:szCs w:val="13"/>
                <w:color w:val="auto"/>
              </w:rPr>
            </w:pPr>
          </w:p>
        </w:tc>
        <w:tc>
          <w:tcPr>
            <w:tcW w:w="1080" w:type="dxa"/>
            <w:vAlign w:val="bottom"/>
            <w:gridSpan w:val="3"/>
          </w:tcPr>
          <w:p>
            <w:pPr>
              <w:jc w:val="center"/>
              <w:ind w:right="80"/>
              <w:spacing w:after="0" w:line="154" w:lineRule="exact"/>
              <w:rPr>
                <w:sz w:val="20"/>
                <w:szCs w:val="20"/>
                <w:color w:val="auto"/>
              </w:rPr>
            </w:pPr>
            <w:r>
              <w:rPr>
                <w:rFonts w:ascii="Arial" w:cs="Arial" w:eastAsia="Arial" w:hAnsi="Arial"/>
                <w:sz w:val="14"/>
                <w:szCs w:val="14"/>
                <w:color w:val="auto"/>
                <w:w w:val="90"/>
              </w:rPr>
              <w:t>to be 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159,375,000</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95,625,000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159,375,000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95,625,000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87,500,000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80" w:type="dxa"/>
            <w:vAlign w:val="bottom"/>
          </w:tcPr>
          <w:p>
            <w:pPr>
              <w:ind w:left="220"/>
              <w:spacing w:after="0"/>
              <w:rPr>
                <w:sz w:val="20"/>
                <w:szCs w:val="20"/>
                <w:color w:val="auto"/>
              </w:rPr>
            </w:pPr>
            <w:r>
              <w:rPr>
                <w:rFonts w:ascii="Arial" w:cs="Arial" w:eastAsia="Arial" w:hAnsi="Arial"/>
                <w:sz w:val="18"/>
                <w:szCs w:val="18"/>
                <w:color w:val="auto"/>
              </w:rPr>
              <w:t>Incorporated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Credit Agricole Securities (USA) Inc.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28,125,000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LionTree Advisors LLC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MFR Securities, Inc.</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3,125,000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3,125,000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1,250,000,000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750,000,000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Schedule I-1</w:t>
      </w:r>
    </w:p>
    <w:p>
      <w:pPr>
        <w:sectPr>
          <w:pgSz w:w="11900" w:h="16838" w:orient="portrait"/>
          <w:cols w:equalWidth="0" w:num="1">
            <w:col w:w="11040"/>
          </w:cols>
          <w:pgMar w:left="440" w:top="274" w:right="4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SUBSIDIARY GUARANTORS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Alabanza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America’s Job Exchange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BHN Spectrum Investments,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of 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of Montana,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of Utah,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Broadband of Wyoming,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Digital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Bresnan Microwave of Montana,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(Florida),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(Indiana),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Information Services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House Networks, LLC</w:t>
      </w:r>
    </w:p>
    <w:p>
      <w:pPr>
        <w:spacing w:after="0" w:line="9" w:lineRule="exact"/>
        <w:rPr>
          <w:sz w:val="20"/>
          <w:szCs w:val="20"/>
          <w:color w:val="auto"/>
        </w:rPr>
      </w:pPr>
    </w:p>
    <w:p>
      <w:pPr>
        <w:jc w:val="both"/>
        <w:ind w:right="9400" w:firstLine="4"/>
        <w:spacing w:after="0" w:line="265" w:lineRule="auto"/>
        <w:tabs>
          <w:tab w:leader="none" w:pos="2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Fiberlink, LLC CC Systems, LLC CC VI Fiberlink, LLC</w:t>
      </w:r>
    </w:p>
    <w:p>
      <w:pPr>
        <w:ind w:right="8620"/>
        <w:spacing w:after="0" w:line="250" w:lineRule="auto"/>
        <w:rPr>
          <w:rFonts w:ascii="Arial" w:cs="Arial" w:eastAsia="Arial" w:hAnsi="Arial"/>
          <w:sz w:val="17"/>
          <w:szCs w:val="17"/>
          <w:color w:val="auto"/>
        </w:rPr>
      </w:pPr>
      <w:r>
        <w:rPr>
          <w:rFonts w:ascii="Arial" w:cs="Arial" w:eastAsia="Arial" w:hAnsi="Arial"/>
          <w:sz w:val="18"/>
          <w:szCs w:val="18"/>
          <w:color w:val="auto"/>
        </w:rPr>
        <w:t>CC VI Operating Company, LLC CC VII Fiberlink, LLC</w:t>
      </w:r>
    </w:p>
    <w:p>
      <w:pPr>
        <w:ind w:right="9220"/>
        <w:spacing w:after="0" w:line="265" w:lineRule="auto"/>
        <w:rPr>
          <w:rFonts w:ascii="Arial" w:cs="Arial" w:eastAsia="Arial" w:hAnsi="Arial"/>
          <w:sz w:val="17"/>
          <w:szCs w:val="17"/>
          <w:color w:val="auto"/>
        </w:rPr>
      </w:pPr>
      <w:r>
        <w:rPr>
          <w:rFonts w:ascii="Arial" w:cs="Arial" w:eastAsia="Arial" w:hAnsi="Arial"/>
          <w:sz w:val="17"/>
          <w:szCs w:val="17"/>
          <w:color w:val="auto"/>
        </w:rPr>
        <w:t>CC VIII Fiberlink, LLC CC VIII Operating, LLC CCO Fiberlink, LLC CCO NR Holdings, LLC CCO Transfers, LLC</w:t>
      </w:r>
    </w:p>
    <w:p>
      <w:pPr>
        <w:spacing w:after="0" w:line="1" w:lineRule="exact"/>
        <w:rPr>
          <w:rFonts w:ascii="Arial" w:cs="Arial" w:eastAsia="Arial" w:hAnsi="Arial"/>
          <w:sz w:val="17"/>
          <w:szCs w:val="17"/>
          <w:color w:val="auto"/>
        </w:rPr>
      </w:pPr>
    </w:p>
    <w:p>
      <w:pPr>
        <w:ind w:right="8160"/>
        <w:spacing w:after="0" w:line="284" w:lineRule="auto"/>
        <w:rPr>
          <w:rFonts w:ascii="Arial" w:cs="Arial" w:eastAsia="Arial" w:hAnsi="Arial"/>
          <w:sz w:val="17"/>
          <w:szCs w:val="17"/>
          <w:color w:val="auto"/>
        </w:rPr>
      </w:pPr>
      <w:r>
        <w:rPr>
          <w:rFonts w:ascii="Arial" w:cs="Arial" w:eastAsia="Arial" w:hAnsi="Arial"/>
          <w:sz w:val="16"/>
          <w:szCs w:val="16"/>
          <w:color w:val="auto"/>
        </w:rPr>
        <w:t>Charter Advanced Services (AL), LLC Charter Advanced Services (CA), LLC Charter Advanced Services (CO), LLC Charter Advanced Services (CT), LLC Charter Advanced Services (GA), LLC Charter Advanced Services (IL), LLC Charter Advanced Services (IN), LLC Charter Advanced Services (KY), LLC Charter Advanced Services (LA), LLC Charter Advanced Services (MA), LLC Charter Advanced Services (MD), LLC Charter Advanced Services (MI), LLC Charter Advanced Services (MN), LLC Charter Advanced Services (MO), LLC Charter Advanced Services (MS), LLC Charter Advanced Services (MT), LLC Charter Advanced Services (NC), LLC Charter Advanced Services (NE), LLC Charter Advanced Services (NH), LLC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II-1</w:t>
      </w:r>
    </w:p>
    <w:p>
      <w:pPr>
        <w:sectPr>
          <w:pgSz w:w="11900" w:h="16838" w:orient="portrait"/>
          <w:cols w:equalWidth="0" w:num="1">
            <w:col w:w="11020"/>
          </w:cols>
          <w:pgMar w:left="440" w:top="274" w:right="4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Charter Advanced Services (NV),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(OH),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(PA),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(SC),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(TN),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(TX),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(UT),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(WA),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(WI),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(WV),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(WY),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VIII (MI),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VIII (MN),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Advanced Services VIII (WI),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Cable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Entertainment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Distribution,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Georgia,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Illinois,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Maryland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Nebraska,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 Tennessee,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AR-CCVII,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CC VIII,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CT-CCO,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LA-CCO,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MA-CCO,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MS-CCVI,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NC-CCO,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NH-CCO,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NV-CCVII,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NY-CCO,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OH-CCO,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OR-CCVII,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SC-CCO,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TX-CCO,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VA-CCO,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VT-CCO,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Fiberlink WA-CCVII, LLC</w:t>
      </w:r>
    </w:p>
    <w:p>
      <w:pPr>
        <w:spacing w:after="0" w:line="143"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Schedule II-2</w:t>
      </w:r>
    </w:p>
    <w:p>
      <w:pPr>
        <w:sectPr>
          <w:pgSz w:w="11900" w:h="16838" w:orient="portrait"/>
          <w:cols w:equalWidth="0" w:num="1">
            <w:col w:w="10019"/>
          </w:cols>
          <w:pgMar w:left="440" w:top="274"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Charter Helicon,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Leasing Holding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Charter Leasing of Wisconsin,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DukeNet Communications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DukeNet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Cable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Cable Systems Company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Community Cable,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Community Ventures I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First Cable of the Southeast,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First,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Falcon Video Communications,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Helicon Partners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ICI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Blocker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Communications Company,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Communications Midwest,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Communications of Kentucky,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Kentucky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Kentucky Partners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Kentucky Partners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Midwest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Insight Midwest,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Interactive Cable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Intrepid Acquisition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Marcus Cable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Marcus Cable of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NaviSite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Oceanic Time Warner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Robin Media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Gulf Coast,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Mid-America,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Mobile Equipment,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Mobile,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Originals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Originals,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Pacific West,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Security,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Spectrum Southeast,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Helicon Group,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Business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Enterprises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(Alabama),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(Arizona),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(California),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(Colorado),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(Hawaii),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(Idaho),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(Illinois), LLC</w:t>
      </w:r>
    </w:p>
    <w:p>
      <w:pPr>
        <w:spacing w:after="0" w:line="143"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Schedule II-3</w:t>
      </w:r>
    </w:p>
    <w:p>
      <w:pPr>
        <w:sectPr>
          <w:pgSz w:w="11900" w:h="16838" w:orient="portrait"/>
          <w:cols w:equalWidth="0" w:num="1">
            <w:col w:w="10019"/>
          </w:cols>
          <w:pgMar w:left="440" w:top="274"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Warner Cable Information Services (Indiana),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(Kansas),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(Kentucky),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(Maine),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(Massachusetts),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(Michigan),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(Missouri),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(Nebraska),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(New Hampshire),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(New Jersey),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(New Mexico)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(New York),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(North Carolina),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(Ohio),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(Pennsylvania),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(South Carolina),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(Tennessee),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(Texas),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(Washington),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(West Virginia),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Information Services (Wisconsin),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International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Internet Holdings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Internet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Internet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New York City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Northeast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Sports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Administration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Communications,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Digital Phone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Media Blocker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News and Local Programming Holdco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News and Local Programming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Regional Sports Network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Regional Sports Network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SEE Holdco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 Wireless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TWC/Charter Los Angeles Cable Advertising,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TWCIS Holdco LLC</w:t>
      </w:r>
    </w:p>
    <w:p>
      <w:pPr>
        <w:spacing w:after="0" w:line="143" w:lineRule="exact"/>
        <w:rPr>
          <w:sz w:val="20"/>
          <w:szCs w:val="20"/>
          <w:color w:val="auto"/>
        </w:rPr>
      </w:pPr>
    </w:p>
    <w:p>
      <w:pPr>
        <w:jc w:val="right"/>
        <w:ind w:right="4019"/>
        <w:spacing w:after="0"/>
        <w:rPr>
          <w:sz w:val="20"/>
          <w:szCs w:val="20"/>
          <w:color w:val="auto"/>
        </w:rPr>
      </w:pPr>
      <w:r>
        <w:rPr>
          <w:rFonts w:ascii="Arial" w:cs="Arial" w:eastAsia="Arial" w:hAnsi="Arial"/>
          <w:sz w:val="18"/>
          <w:szCs w:val="18"/>
          <w:color w:val="auto"/>
        </w:rPr>
        <w:t>Schedule II-4</w:t>
      </w:r>
    </w:p>
    <w:p>
      <w:pPr>
        <w:sectPr>
          <w:pgSz w:w="11900" w:h="16838" w:orient="portrait"/>
          <w:cols w:equalWidth="0" w:num="1">
            <w:col w:w="10019"/>
          </w:cols>
          <w:pgMar w:left="440" w:top="274"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56" w:lineRule="exact"/>
        <w:rPr>
          <w:sz w:val="20"/>
          <w:szCs w:val="20"/>
          <w:color w:val="auto"/>
        </w:rPr>
      </w:pPr>
    </w:p>
    <w:p>
      <w:pPr>
        <w:ind w:left="5120" w:right="3340" w:hanging="5116"/>
        <w:spacing w:after="0" w:line="449" w:lineRule="auto"/>
        <w:tabs>
          <w:tab w:leader="none" w:pos="4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Free Writing Prospectus containing the Terms of the Securities substantially in the form of Annex B. Annex A-1</w:t>
      </w:r>
    </w:p>
    <w:p>
      <w:pPr>
        <w:sectPr>
          <w:pgSz w:w="11900" w:h="16838" w:orient="portrait"/>
          <w:cols w:equalWidth="0" w:num="1">
            <w:col w:w="11020"/>
          </w:cols>
          <w:pgMar w:left="440" w:top="270"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B</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5"/>
          <w:szCs w:val="15"/>
          <w:color w:val="auto"/>
        </w:rPr>
        <w:t>See attached.</w:t>
      </w:r>
    </w:p>
    <w:p>
      <w:pPr>
        <w:spacing w:after="0" w:line="192"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0020"/>
          </w:cols>
          <w:pgMar w:left="1440" w:top="270" w:right="439" w:bottom="1440" w:gutter="0" w:footer="0" w:header="0"/>
        </w:sectPr>
      </w:pPr>
    </w:p>
    <w:bookmarkStart w:id="45" w:name="page46"/>
    <w:bookmarkEnd w:id="45"/>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Free Writing Prospectus filed pursuant to Rule 433</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supplementing the Preliminary Prospectus Supplement dated</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January 14, 2019 and the Prospectus dated December 22, 2017</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333-222241-213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194310</wp:posOffset>
            </wp:positionV>
            <wp:extent cx="2186940" cy="7029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8694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Charter Communications Operating, LLC</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Charter Communications Operating Capital Corp.</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$1,250,000,000 5.050% Senior Secured Notes due 2029 (the “2029 Notes”)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$750,000,000 5.750% Senior Secured Notes due 2048 (the “2048 Notes”)</w:t>
      </w:r>
    </w:p>
    <w:p>
      <w:pPr>
        <w:spacing w:after="0" w:line="202" w:lineRule="exact"/>
        <w:rPr>
          <w:sz w:val="20"/>
          <w:szCs w:val="20"/>
          <w:color w:val="auto"/>
        </w:rPr>
      </w:pPr>
    </w:p>
    <w:p>
      <w:pPr>
        <w:ind w:left="9700"/>
        <w:spacing w:after="0"/>
        <w:rPr>
          <w:sz w:val="20"/>
          <w:szCs w:val="20"/>
          <w:color w:val="auto"/>
        </w:rPr>
      </w:pPr>
      <w:r>
        <w:rPr>
          <w:rFonts w:ascii="Arial" w:cs="Arial" w:eastAsia="Arial" w:hAnsi="Arial"/>
          <w:sz w:val="16"/>
          <w:szCs w:val="16"/>
          <w:b w:val="1"/>
          <w:bCs w:val="1"/>
          <w:color w:val="auto"/>
        </w:rPr>
        <w:t>January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699770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Pricing Term Sheet dated January 14, 2019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Preliminary Prospectus Supplement dated January 14,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“Preliminary Prospectus Supplement”)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Charter Communications Operating, LLC and Charter Communications Operating Capital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“Issuers”)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Pricing Term Sheet is qualified in its entirety by reference to the Preliminary Prospectus Supplement.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in this Pricing Term Sheet supplements the Preliminary Prospectus Supplement and supersedes the information in the Preliminary Prospectus Supplement to the extent inconsistent with the information in the Preliminary Prospectus Supplement.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920" w:type="dxa"/>
            <w:vAlign w:val="bottom"/>
          </w:tcPr>
          <w:p>
            <w:pPr>
              <w:ind w:left="2040"/>
              <w:spacing w:after="0"/>
              <w:rPr>
                <w:sz w:val="20"/>
                <w:szCs w:val="20"/>
                <w:color w:val="auto"/>
              </w:rPr>
            </w:pPr>
            <w:r>
              <w:rPr>
                <w:rFonts w:ascii="Arial" w:cs="Arial" w:eastAsia="Arial" w:hAnsi="Arial"/>
                <w:sz w:val="18"/>
                <w:szCs w:val="18"/>
                <w:b w:val="1"/>
                <w:bCs w:val="1"/>
                <w:color w:val="auto"/>
              </w:rPr>
              <w:t>Terms Applicable to the 2029 Notes</w:t>
            </w:r>
          </w:p>
        </w:tc>
      </w:tr>
      <w:tr>
        <w:trPr>
          <w:trHeight w:val="32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Issuers:</w:t>
            </w:r>
          </w:p>
        </w:tc>
        <w:tc>
          <w:tcPr>
            <w:tcW w:w="8920" w:type="dxa"/>
            <w:vAlign w:val="bottom"/>
          </w:tcPr>
          <w:p>
            <w:pPr>
              <w:ind w:left="420"/>
              <w:spacing w:after="0"/>
              <w:rPr>
                <w:sz w:val="20"/>
                <w:szCs w:val="20"/>
                <w:color w:val="auto"/>
              </w:rPr>
            </w:pPr>
            <w:r>
              <w:rPr>
                <w:rFonts w:ascii="Arial" w:cs="Arial" w:eastAsia="Arial" w:hAnsi="Arial"/>
                <w:sz w:val="18"/>
                <w:szCs w:val="18"/>
                <w:color w:val="auto"/>
              </w:rPr>
              <w:t>Charter Communications Operating, LLC and Charter Communications Operating Capital Corp.</w:t>
            </w:r>
          </w:p>
        </w:tc>
      </w:tr>
      <w:tr>
        <w:trPr>
          <w:trHeight w:val="32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Principal Amount:</w:t>
            </w:r>
          </w:p>
        </w:tc>
        <w:tc>
          <w:tcPr>
            <w:tcW w:w="8920" w:type="dxa"/>
            <w:vAlign w:val="bottom"/>
          </w:tcPr>
          <w:p>
            <w:pPr>
              <w:ind w:left="420"/>
              <w:spacing w:after="0"/>
              <w:rPr>
                <w:sz w:val="20"/>
                <w:szCs w:val="20"/>
                <w:color w:val="auto"/>
              </w:rPr>
            </w:pPr>
            <w:r>
              <w:rPr>
                <w:rFonts w:ascii="Arial" w:cs="Arial" w:eastAsia="Arial" w:hAnsi="Arial"/>
                <w:sz w:val="18"/>
                <w:szCs w:val="18"/>
                <w:color w:val="auto"/>
              </w:rPr>
              <w:t>$1,250,000,000</w:t>
            </w:r>
          </w:p>
        </w:tc>
      </w:tr>
      <w:tr>
        <w:trPr>
          <w:trHeight w:val="32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Title of Securities:</w:t>
            </w:r>
          </w:p>
        </w:tc>
        <w:tc>
          <w:tcPr>
            <w:tcW w:w="8920" w:type="dxa"/>
            <w:vAlign w:val="bottom"/>
          </w:tcPr>
          <w:p>
            <w:pPr>
              <w:ind w:left="420"/>
              <w:spacing w:after="0"/>
              <w:rPr>
                <w:sz w:val="20"/>
                <w:szCs w:val="20"/>
                <w:color w:val="auto"/>
              </w:rPr>
            </w:pPr>
            <w:r>
              <w:rPr>
                <w:rFonts w:ascii="Arial" w:cs="Arial" w:eastAsia="Arial" w:hAnsi="Arial"/>
                <w:sz w:val="18"/>
                <w:szCs w:val="18"/>
                <w:color w:val="auto"/>
              </w:rPr>
              <w:t>5.050% Senior Secured Notes due 2029</w:t>
            </w:r>
          </w:p>
        </w:tc>
      </w:tr>
      <w:tr>
        <w:trPr>
          <w:trHeight w:val="32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Final Maturity Date:</w:t>
            </w:r>
          </w:p>
        </w:tc>
        <w:tc>
          <w:tcPr>
            <w:tcW w:w="8920" w:type="dxa"/>
            <w:vAlign w:val="bottom"/>
          </w:tcPr>
          <w:p>
            <w:pPr>
              <w:ind w:left="420"/>
              <w:spacing w:after="0"/>
              <w:rPr>
                <w:sz w:val="20"/>
                <w:szCs w:val="20"/>
                <w:color w:val="auto"/>
              </w:rPr>
            </w:pPr>
            <w:r>
              <w:rPr>
                <w:rFonts w:ascii="Arial" w:cs="Arial" w:eastAsia="Arial" w:hAnsi="Arial"/>
                <w:sz w:val="18"/>
                <w:szCs w:val="18"/>
                <w:color w:val="auto"/>
              </w:rPr>
              <w:t>March 30, 2029</w:t>
            </w:r>
          </w:p>
        </w:tc>
      </w:tr>
      <w:tr>
        <w:trPr>
          <w:trHeight w:val="32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Issue Price:</w:t>
            </w:r>
          </w:p>
        </w:tc>
        <w:tc>
          <w:tcPr>
            <w:tcW w:w="8920" w:type="dxa"/>
            <w:vAlign w:val="bottom"/>
          </w:tcPr>
          <w:p>
            <w:pPr>
              <w:ind w:left="420"/>
              <w:spacing w:after="0"/>
              <w:rPr>
                <w:sz w:val="20"/>
                <w:szCs w:val="20"/>
                <w:color w:val="auto"/>
              </w:rPr>
            </w:pPr>
            <w:r>
              <w:rPr>
                <w:rFonts w:ascii="Arial" w:cs="Arial" w:eastAsia="Arial" w:hAnsi="Arial"/>
                <w:sz w:val="18"/>
                <w:szCs w:val="18"/>
                <w:color w:val="auto"/>
              </w:rPr>
              <w:t>99.935%, plus accrued and unpaid interest, if any, from January 17, 2019</w:t>
            </w:r>
          </w:p>
        </w:tc>
      </w:tr>
      <w:tr>
        <w:trPr>
          <w:trHeight w:val="32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Coupon:</w:t>
            </w:r>
          </w:p>
        </w:tc>
        <w:tc>
          <w:tcPr>
            <w:tcW w:w="8920" w:type="dxa"/>
            <w:vAlign w:val="bottom"/>
          </w:tcPr>
          <w:p>
            <w:pPr>
              <w:ind w:left="420"/>
              <w:spacing w:after="0"/>
              <w:rPr>
                <w:sz w:val="20"/>
                <w:szCs w:val="20"/>
                <w:color w:val="auto"/>
              </w:rPr>
            </w:pPr>
            <w:r>
              <w:rPr>
                <w:rFonts w:ascii="Arial" w:cs="Arial" w:eastAsia="Arial" w:hAnsi="Arial"/>
                <w:sz w:val="18"/>
                <w:szCs w:val="18"/>
                <w:color w:val="auto"/>
              </w:rPr>
              <w:t>5.050%</w:t>
            </w:r>
          </w:p>
        </w:tc>
      </w:tr>
      <w:tr>
        <w:trPr>
          <w:trHeight w:val="32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w:t>
            </w:r>
          </w:p>
        </w:tc>
        <w:tc>
          <w:tcPr>
            <w:tcW w:w="8920" w:type="dxa"/>
            <w:vAlign w:val="bottom"/>
          </w:tcPr>
          <w:p>
            <w:pPr>
              <w:ind w:left="420"/>
              <w:spacing w:after="0"/>
              <w:rPr>
                <w:sz w:val="20"/>
                <w:szCs w:val="20"/>
                <w:color w:val="auto"/>
              </w:rPr>
            </w:pPr>
            <w:r>
              <w:rPr>
                <w:rFonts w:ascii="Arial" w:cs="Arial" w:eastAsia="Arial" w:hAnsi="Arial"/>
                <w:sz w:val="18"/>
                <w:szCs w:val="18"/>
                <w:color w:val="auto"/>
              </w:rPr>
              <w:t>3.125% due November 15, 2028</w:t>
            </w:r>
          </w:p>
        </w:tc>
      </w:tr>
      <w:tr>
        <w:trPr>
          <w:trHeight w:val="196"/>
        </w:trPr>
        <w:tc>
          <w:tcPr>
            <w:tcW w:w="2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8920" w:type="dxa"/>
            <w:vAlign w:val="bottom"/>
            <w:tcBorders>
              <w:bottom w:val="single" w:sz="8" w:color="auto"/>
            </w:tcBorders>
          </w:tcPr>
          <w:p>
            <w:pPr>
              <w:spacing w:after="0"/>
              <w:rPr>
                <w:sz w:val="17"/>
                <w:szCs w:val="17"/>
                <w:color w:val="auto"/>
              </w:rPr>
            </w:pPr>
          </w:p>
        </w:tc>
      </w:tr>
      <w:tr>
        <w:trPr>
          <w:trHeight w:val="40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920" w:type="dxa"/>
            <w:vAlign w:val="bottom"/>
          </w:tcPr>
          <w:p>
            <w:pPr>
              <w:ind w:left="3180"/>
              <w:spacing w:after="0"/>
              <w:rPr>
                <w:sz w:val="20"/>
                <w:szCs w:val="20"/>
                <w:color w:val="auto"/>
              </w:rPr>
            </w:pPr>
            <w:r>
              <w:rPr>
                <w:rFonts w:ascii="Arial" w:cs="Arial" w:eastAsia="Arial" w:hAnsi="Arial"/>
                <w:sz w:val="18"/>
                <w:szCs w:val="18"/>
                <w:color w:val="auto"/>
              </w:rPr>
              <w:t>1 of 5</w:t>
            </w:r>
          </w:p>
        </w:tc>
      </w:tr>
    </w:tbl>
    <w:p>
      <w:pPr>
        <w:sectPr>
          <w:pgSz w:w="11900" w:h="16838" w:orient="portrait"/>
          <w:cols w:equalWidth="0" w:num="1">
            <w:col w:w="11040"/>
          </w:cols>
          <w:pgMar w:left="440" w:top="270" w:right="419" w:bottom="1440" w:gutter="0" w:footer="0" w:header="0"/>
        </w:sectPr>
      </w:pPr>
    </w:p>
    <w:bookmarkStart w:id="46" w:name="page47"/>
    <w:bookmarkEnd w:id="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jc w:val="center"/>
              <w:ind w:right="2850"/>
              <w:spacing w:after="0"/>
              <w:rPr>
                <w:sz w:val="20"/>
                <w:szCs w:val="20"/>
                <w:color w:val="auto"/>
              </w:rPr>
            </w:pPr>
            <w:r>
              <w:rPr>
                <w:rFonts w:ascii="Arial" w:cs="Arial" w:eastAsia="Arial" w:hAnsi="Arial"/>
                <w:sz w:val="18"/>
                <w:szCs w:val="18"/>
                <w:b w:val="1"/>
                <w:bCs w:val="1"/>
                <w:i w:val="1"/>
                <w:iCs w:val="1"/>
                <w:color w:val="auto"/>
                <w:w w:val="87"/>
              </w:rPr>
              <w:t>This Pricing Term Sheet is qualified in its entirety by reference to the</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100" w:type="dxa"/>
            <w:vAlign w:val="bottom"/>
          </w:tcPr>
          <w:p>
            <w:pPr>
              <w:jc w:val="center"/>
              <w:ind w:right="2850"/>
              <w:spacing w:after="0"/>
              <w:rPr>
                <w:sz w:val="20"/>
                <w:szCs w:val="20"/>
                <w:color w:val="auto"/>
              </w:rPr>
            </w:pPr>
            <w:r>
              <w:rPr>
                <w:rFonts w:ascii="Arial" w:cs="Arial" w:eastAsia="Arial" w:hAnsi="Arial"/>
                <w:sz w:val="18"/>
                <w:szCs w:val="18"/>
                <w:b w:val="1"/>
                <w:bCs w:val="1"/>
                <w:i w:val="1"/>
                <w:iCs w:val="1"/>
                <w:color w:val="auto"/>
                <w:w w:val="86"/>
              </w:rPr>
              <w:t>Preliminary Prospectus Supplement.</w:t>
            </w:r>
          </w:p>
        </w:tc>
      </w:tr>
      <w:tr>
        <w:trPr>
          <w:trHeight w:val="75"/>
        </w:trPr>
        <w:tc>
          <w:tcPr>
            <w:tcW w:w="20" w:type="dxa"/>
            <w:vAlign w:val="bottom"/>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8100" w:type="dxa"/>
            <w:vAlign w:val="bottom"/>
            <w:tcBorders>
              <w:bottom w:val="single" w:sz="8" w:color="auto"/>
            </w:tcBorders>
          </w:tcPr>
          <w:p>
            <w:pPr>
              <w:spacing w:after="0"/>
              <w:rPr>
                <w:sz w:val="6"/>
                <w:szCs w:val="6"/>
                <w:color w:val="auto"/>
              </w:rPr>
            </w:pPr>
          </w:p>
        </w:tc>
      </w:tr>
      <w:tr>
        <w:trPr>
          <w:trHeight w:val="729"/>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 Treasury:</w:t>
            </w:r>
          </w:p>
        </w:tc>
        <w:tc>
          <w:tcPr>
            <w:tcW w:w="8100" w:type="dxa"/>
            <w:vAlign w:val="bottom"/>
          </w:tcPr>
          <w:p>
            <w:pPr>
              <w:ind w:left="920"/>
              <w:spacing w:after="0"/>
              <w:rPr>
                <w:sz w:val="20"/>
                <w:szCs w:val="20"/>
                <w:color w:val="auto"/>
              </w:rPr>
            </w:pPr>
            <w:r>
              <w:rPr>
                <w:rFonts w:ascii="Arial" w:cs="Arial" w:eastAsia="Arial" w:hAnsi="Arial"/>
                <w:sz w:val="18"/>
                <w:szCs w:val="18"/>
                <w:color w:val="auto"/>
              </w:rPr>
              <w:t>235 basis points</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w w:val="91"/>
              </w:rPr>
              <w:t>Benchmark Treasury Price and Yield:</w:t>
            </w:r>
          </w:p>
        </w:tc>
        <w:tc>
          <w:tcPr>
            <w:tcW w:w="8100" w:type="dxa"/>
            <w:vAlign w:val="bottom"/>
          </w:tcPr>
          <w:p>
            <w:pPr>
              <w:ind w:left="920"/>
              <w:spacing w:after="0"/>
              <w:rPr>
                <w:sz w:val="20"/>
                <w:szCs w:val="20"/>
                <w:color w:val="auto"/>
              </w:rPr>
            </w:pPr>
            <w:r>
              <w:rPr>
                <w:rFonts w:ascii="Arial" w:cs="Arial" w:eastAsia="Arial" w:hAnsi="Arial"/>
                <w:sz w:val="18"/>
                <w:szCs w:val="18"/>
                <w:color w:val="auto"/>
              </w:rPr>
              <w:t>103-19; 2.706%</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8100" w:type="dxa"/>
            <w:vAlign w:val="bottom"/>
          </w:tcPr>
          <w:p>
            <w:pPr>
              <w:ind w:left="920"/>
              <w:spacing w:after="0"/>
              <w:rPr>
                <w:sz w:val="20"/>
                <w:szCs w:val="20"/>
                <w:color w:val="auto"/>
              </w:rPr>
            </w:pPr>
            <w:r>
              <w:rPr>
                <w:rFonts w:ascii="Arial" w:cs="Arial" w:eastAsia="Arial" w:hAnsi="Arial"/>
                <w:sz w:val="18"/>
                <w:szCs w:val="18"/>
                <w:color w:val="auto"/>
              </w:rPr>
              <w:t>5.056%</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100" w:type="dxa"/>
            <w:vAlign w:val="bottom"/>
          </w:tcPr>
          <w:p>
            <w:pPr>
              <w:ind w:left="920"/>
              <w:spacing w:after="0"/>
              <w:rPr>
                <w:sz w:val="20"/>
                <w:szCs w:val="20"/>
                <w:color w:val="auto"/>
              </w:rPr>
            </w:pPr>
            <w:r>
              <w:rPr>
                <w:rFonts w:ascii="Arial" w:cs="Arial" w:eastAsia="Arial" w:hAnsi="Arial"/>
                <w:sz w:val="18"/>
                <w:szCs w:val="18"/>
                <w:color w:val="auto"/>
              </w:rPr>
              <w:t>March 30 and September 30</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Record Dates:</w:t>
            </w:r>
          </w:p>
        </w:tc>
        <w:tc>
          <w:tcPr>
            <w:tcW w:w="8100" w:type="dxa"/>
            <w:vAlign w:val="bottom"/>
          </w:tcPr>
          <w:p>
            <w:pPr>
              <w:ind w:left="920"/>
              <w:spacing w:after="0"/>
              <w:rPr>
                <w:sz w:val="20"/>
                <w:szCs w:val="20"/>
                <w:color w:val="auto"/>
              </w:rPr>
            </w:pPr>
            <w:r>
              <w:rPr>
                <w:rFonts w:ascii="Arial" w:cs="Arial" w:eastAsia="Arial" w:hAnsi="Arial"/>
                <w:sz w:val="18"/>
                <w:szCs w:val="18"/>
                <w:color w:val="auto"/>
              </w:rPr>
              <w:t>March 15 and September 15</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First Interest Payment Date:</w:t>
            </w:r>
          </w:p>
        </w:tc>
        <w:tc>
          <w:tcPr>
            <w:tcW w:w="8100" w:type="dxa"/>
            <w:vAlign w:val="bottom"/>
          </w:tcPr>
          <w:p>
            <w:pPr>
              <w:ind w:left="920"/>
              <w:spacing w:after="0"/>
              <w:rPr>
                <w:sz w:val="20"/>
                <w:szCs w:val="20"/>
                <w:color w:val="auto"/>
              </w:rPr>
            </w:pPr>
            <w:r>
              <w:rPr>
                <w:rFonts w:ascii="Arial" w:cs="Arial" w:eastAsia="Arial" w:hAnsi="Arial"/>
                <w:sz w:val="18"/>
                <w:szCs w:val="18"/>
                <w:color w:val="auto"/>
              </w:rPr>
              <w:t>September 30, 2019</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8100" w:type="dxa"/>
            <w:vAlign w:val="bottom"/>
          </w:tcPr>
          <w:p>
            <w:pPr>
              <w:ind w:left="920"/>
              <w:spacing w:after="0"/>
              <w:rPr>
                <w:sz w:val="20"/>
                <w:szCs w:val="20"/>
                <w:color w:val="auto"/>
              </w:rPr>
            </w:pPr>
            <w:r>
              <w:rPr>
                <w:rFonts w:ascii="Arial" w:cs="Arial" w:eastAsia="Arial" w:hAnsi="Arial"/>
                <w:sz w:val="18"/>
                <w:szCs w:val="18"/>
                <w:color w:val="auto"/>
              </w:rPr>
              <w:t>161175 BR4</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ISIN Number:</w:t>
            </w:r>
          </w:p>
        </w:tc>
        <w:tc>
          <w:tcPr>
            <w:tcW w:w="8100" w:type="dxa"/>
            <w:vAlign w:val="bottom"/>
          </w:tcPr>
          <w:p>
            <w:pPr>
              <w:ind w:left="920"/>
              <w:spacing w:after="0"/>
              <w:rPr>
                <w:sz w:val="20"/>
                <w:szCs w:val="20"/>
                <w:color w:val="auto"/>
              </w:rPr>
            </w:pPr>
            <w:r>
              <w:rPr>
                <w:rFonts w:ascii="Arial" w:cs="Arial" w:eastAsia="Arial" w:hAnsi="Arial"/>
                <w:sz w:val="18"/>
                <w:szCs w:val="18"/>
                <w:color w:val="auto"/>
              </w:rPr>
              <w:t>US161175BR49</w:t>
            </w:r>
          </w:p>
        </w:tc>
      </w:tr>
      <w:tr>
        <w:trPr>
          <w:trHeight w:val="310"/>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Optional Redemption:</w:t>
            </w:r>
          </w:p>
        </w:tc>
        <w:tc>
          <w:tcPr>
            <w:tcW w:w="8100" w:type="dxa"/>
            <w:vAlign w:val="bottom"/>
          </w:tcPr>
          <w:p>
            <w:pPr>
              <w:ind w:left="920"/>
              <w:spacing w:after="0"/>
              <w:rPr>
                <w:sz w:val="20"/>
                <w:szCs w:val="20"/>
                <w:color w:val="auto"/>
              </w:rPr>
            </w:pPr>
            <w:r>
              <w:rPr>
                <w:rFonts w:ascii="Arial" w:cs="Arial" w:eastAsia="Arial" w:hAnsi="Arial"/>
                <w:sz w:val="18"/>
                <w:szCs w:val="18"/>
                <w:color w:val="auto"/>
                <w:w w:val="94"/>
              </w:rPr>
              <w:t>Prior to the Par Call Date (as defined below), the 2029 Notes will be redeemable, in whole or in</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2"/>
              </w:rPr>
              <w:t>part, at the Issuers’ option, at any time or from time to time, on at least 15 days’ but not more than</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0"/>
              </w:rPr>
              <w:t>30 days’ prior notice to each Holder of the 2029 Notes to be redeemed, at a redemption price equal</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7"/>
              </w:rPr>
              <w:t>to 100% of the principal amount thereof plus the Applicable Premium (as defined below) plus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0"/>
              </w:rPr>
              <w:t>accrued but unpaid interest to but excluding the redemption date (subject to the rights of Holders of</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5"/>
              </w:rPr>
              <w:t>the 2029 Notes on a record date to receive the related interest payment on the related interest</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payment date).</w:t>
            </w:r>
          </w:p>
        </w:tc>
      </w:tr>
      <w:tr>
        <w:trPr>
          <w:trHeight w:val="32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3"/>
              </w:rPr>
              <w:t>“Applicable Premium” means with respect to a 2029 Note the greater of (A) 1.0% of the principal</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2"/>
              </w:rPr>
              <w:t>amount of such 2029 Note and (B) on any redemption date, the excess (to the extent positive) of:</w:t>
            </w:r>
          </w:p>
        </w:tc>
      </w:tr>
      <w:tr>
        <w:trPr>
          <w:trHeight w:val="32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5"/>
              </w:rPr>
              <w:t>(a) the present value at such redemption date of (i) 100% of the principal amount of such 2029</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4"/>
              </w:rPr>
              <w:t>Note on the Par Call Date, plus (ii) all required interest payments due on such 2029 Note to and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9"/>
              </w:rPr>
              <w:t>including the Par Call Date (excluding accrued but unpaid interest to the redemption date),</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1"/>
              </w:rPr>
              <w:t>computed upon the redemption date using a discount rate equal to the Applicable Treasury Rate at</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such redemption date plus 35 basis points; over</w:t>
            </w:r>
          </w:p>
        </w:tc>
      </w:tr>
      <w:tr>
        <w:trPr>
          <w:trHeight w:val="32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1"/>
              </w:rPr>
              <w:t>(b) the outstanding principal amount of such 2029 Note; in each case, as calculated by the Issuers</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or on behalf of the Issuers by such Person as the Issuers shall designate.</w:t>
            </w:r>
          </w:p>
        </w:tc>
      </w:tr>
      <w:tr>
        <w:trPr>
          <w:trHeight w:val="338"/>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“Par Call Date” means December 30, 2028.</w:t>
            </w:r>
          </w:p>
        </w:tc>
      </w:tr>
      <w:tr>
        <w:trPr>
          <w:trHeight w:val="32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3"/>
              </w:rPr>
              <w:t>On or after the Par Call Date, the Issuers may redeem the 2029 Notes, in whole or in part, at the</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8"/>
              </w:rPr>
              <w:t>Issuers’ option, on at least 15 days’ but not more than 30 days’ prior notice to the registered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1"/>
              </w:rPr>
              <w:t>holders thereof at a redemption price equal to 100% of the principal amount of such 2029 Notes to</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1"/>
              </w:rPr>
              <w:t>be redeemed plus accrued and unpaid interest on the principal amount being redeemed to, but not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1"/>
              </w:rPr>
              <w:t>including, the redemption date (subject to the rights of Holders of the 2029 Notes on a record date</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to receive the related interest payment on the related interest payment date).</w:t>
            </w:r>
          </w:p>
        </w:tc>
      </w:tr>
      <w:tr>
        <w:trPr>
          <w:trHeight w:val="210"/>
        </w:trPr>
        <w:tc>
          <w:tcPr>
            <w:tcW w:w="20" w:type="dxa"/>
            <w:vAlign w:val="bottom"/>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8100" w:type="dxa"/>
            <w:vAlign w:val="bottom"/>
            <w:tcBorders>
              <w:bottom w:val="single" w:sz="8" w:color="auto"/>
            </w:tcBorders>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100" w:type="dxa"/>
            <w:vAlign w:val="bottom"/>
          </w:tcPr>
          <w:p>
            <w:pPr>
              <w:jc w:val="center"/>
              <w:ind w:right="2870"/>
              <w:spacing w:after="0"/>
              <w:rPr>
                <w:sz w:val="20"/>
                <w:szCs w:val="20"/>
                <w:color w:val="auto"/>
              </w:rPr>
            </w:pPr>
            <w:r>
              <w:rPr>
                <w:rFonts w:ascii="Arial" w:cs="Arial" w:eastAsia="Arial" w:hAnsi="Arial"/>
                <w:sz w:val="18"/>
                <w:szCs w:val="18"/>
                <w:color w:val="auto"/>
                <w:w w:val="99"/>
              </w:rPr>
              <w:t>2</w:t>
            </w:r>
          </w:p>
        </w:tc>
      </w:tr>
    </w:tbl>
    <w:p>
      <w:pPr>
        <w:sectPr>
          <w:pgSz w:w="11900" w:h="16838" w:orient="portrait"/>
          <w:cols w:equalWidth="0" w:num="1">
            <w:col w:w="11040"/>
          </w:cols>
          <w:pgMar w:left="440" w:top="274" w:right="41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jc w:val="center"/>
              <w:ind w:right="2850"/>
              <w:spacing w:after="0"/>
              <w:rPr>
                <w:sz w:val="20"/>
                <w:szCs w:val="20"/>
                <w:color w:val="auto"/>
              </w:rPr>
            </w:pPr>
            <w:r>
              <w:rPr>
                <w:rFonts w:ascii="Arial" w:cs="Arial" w:eastAsia="Arial" w:hAnsi="Arial"/>
                <w:sz w:val="18"/>
                <w:szCs w:val="18"/>
                <w:b w:val="1"/>
                <w:bCs w:val="1"/>
                <w:i w:val="1"/>
                <w:iCs w:val="1"/>
                <w:color w:val="auto"/>
                <w:w w:val="87"/>
              </w:rPr>
              <w:t>This Pricing Term Sheet is qualified in its entirety by reference to the</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100" w:type="dxa"/>
            <w:vAlign w:val="bottom"/>
          </w:tcPr>
          <w:p>
            <w:pPr>
              <w:jc w:val="center"/>
              <w:ind w:right="2850"/>
              <w:spacing w:after="0"/>
              <w:rPr>
                <w:sz w:val="20"/>
                <w:szCs w:val="20"/>
                <w:color w:val="auto"/>
              </w:rPr>
            </w:pPr>
            <w:r>
              <w:rPr>
                <w:rFonts w:ascii="Arial" w:cs="Arial" w:eastAsia="Arial" w:hAnsi="Arial"/>
                <w:sz w:val="18"/>
                <w:szCs w:val="18"/>
                <w:b w:val="1"/>
                <w:bCs w:val="1"/>
                <w:i w:val="1"/>
                <w:iCs w:val="1"/>
                <w:color w:val="auto"/>
                <w:w w:val="86"/>
              </w:rPr>
              <w:t>Preliminary Prospectus Supplement.</w:t>
            </w:r>
          </w:p>
        </w:tc>
      </w:tr>
      <w:tr>
        <w:trPr>
          <w:trHeight w:val="75"/>
        </w:trPr>
        <w:tc>
          <w:tcPr>
            <w:tcW w:w="20" w:type="dxa"/>
            <w:vAlign w:val="bottom"/>
          </w:tcPr>
          <w:p>
            <w:pPr>
              <w:spacing w:after="0"/>
              <w:rPr>
                <w:sz w:val="6"/>
                <w:szCs w:val="6"/>
                <w:color w:val="auto"/>
              </w:rPr>
            </w:pPr>
          </w:p>
        </w:tc>
        <w:tc>
          <w:tcPr>
            <w:tcW w:w="2920" w:type="dxa"/>
            <w:vAlign w:val="bottom"/>
            <w:tcBorders>
              <w:bottom w:val="single" w:sz="8" w:color="auto"/>
            </w:tcBorders>
          </w:tcPr>
          <w:p>
            <w:pPr>
              <w:spacing w:after="0"/>
              <w:rPr>
                <w:sz w:val="6"/>
                <w:szCs w:val="6"/>
                <w:color w:val="auto"/>
              </w:rPr>
            </w:pPr>
          </w:p>
        </w:tc>
        <w:tc>
          <w:tcPr>
            <w:tcW w:w="8100" w:type="dxa"/>
            <w:vAlign w:val="bottom"/>
            <w:tcBorders>
              <w:bottom w:val="single" w:sz="8" w:color="auto"/>
            </w:tcBorders>
          </w:tcPr>
          <w:p>
            <w:pPr>
              <w:spacing w:after="0"/>
              <w:rPr>
                <w:sz w:val="6"/>
                <w:szCs w:val="6"/>
                <w:color w:val="auto"/>
              </w:rPr>
            </w:pPr>
          </w:p>
        </w:tc>
      </w:tr>
      <w:tr>
        <w:trPr>
          <w:trHeight w:val="621"/>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100" w:type="dxa"/>
            <w:vAlign w:val="bottom"/>
          </w:tcPr>
          <w:p>
            <w:pPr>
              <w:jc w:val="center"/>
              <w:ind w:right="2850"/>
              <w:spacing w:after="0"/>
              <w:rPr>
                <w:sz w:val="20"/>
                <w:szCs w:val="20"/>
                <w:color w:val="auto"/>
              </w:rPr>
            </w:pPr>
            <w:r>
              <w:rPr>
                <w:rFonts w:ascii="Arial" w:cs="Arial" w:eastAsia="Arial" w:hAnsi="Arial"/>
                <w:sz w:val="18"/>
                <w:szCs w:val="18"/>
                <w:b w:val="1"/>
                <w:bCs w:val="1"/>
                <w:color w:val="auto"/>
                <w:w w:val="89"/>
              </w:rPr>
              <w:t>Terms Applicable to the 2048 Notes</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Issuers:</w:t>
            </w:r>
          </w:p>
        </w:tc>
        <w:tc>
          <w:tcPr>
            <w:tcW w:w="8100" w:type="dxa"/>
            <w:vAlign w:val="bottom"/>
          </w:tcPr>
          <w:p>
            <w:pPr>
              <w:ind w:left="920"/>
              <w:spacing w:after="0"/>
              <w:rPr>
                <w:sz w:val="20"/>
                <w:szCs w:val="20"/>
                <w:color w:val="auto"/>
              </w:rPr>
            </w:pPr>
            <w:r>
              <w:rPr>
                <w:rFonts w:ascii="Arial" w:cs="Arial" w:eastAsia="Arial" w:hAnsi="Arial"/>
                <w:sz w:val="18"/>
                <w:szCs w:val="18"/>
                <w:color w:val="auto"/>
                <w:w w:val="94"/>
              </w:rPr>
              <w:t>Charter Communications Operating, LLC and Charter Communications Operating Capital Corp.</w:t>
            </w:r>
          </w:p>
        </w:tc>
      </w:tr>
      <w:tr>
        <w:trPr>
          <w:trHeight w:val="310"/>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Principal Amount:</w:t>
            </w:r>
          </w:p>
        </w:tc>
        <w:tc>
          <w:tcPr>
            <w:tcW w:w="8100" w:type="dxa"/>
            <w:vAlign w:val="bottom"/>
          </w:tcPr>
          <w:p>
            <w:pPr>
              <w:ind w:left="920"/>
              <w:spacing w:after="0"/>
              <w:rPr>
                <w:sz w:val="20"/>
                <w:szCs w:val="20"/>
                <w:color w:val="auto"/>
              </w:rPr>
            </w:pPr>
            <w:r>
              <w:rPr>
                <w:rFonts w:ascii="Arial" w:cs="Arial" w:eastAsia="Arial" w:hAnsi="Arial"/>
                <w:sz w:val="18"/>
                <w:szCs w:val="18"/>
                <w:color w:val="auto"/>
              </w:rPr>
              <w:t>$750,000,000</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0"/>
              </w:rPr>
              <w:t>On April 3, 2018, the Issuers issued $1,700,000,000 aggregate principal amount of Senior Secured</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6"/>
              </w:rPr>
              <w:t>Notes due 2048 (the “Existing 2048 Notes”). The 2048 Notes offered hereby will be issued as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6"/>
              </w:rPr>
              <w:t>additional notes under the indenture governing the Existing 2048 Notes, fully fungible with the</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3"/>
              </w:rPr>
              <w:t>Existing 2048 Notes, treated as a single class for all purposes under the indenture governing the</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5"/>
              </w:rPr>
              <w:t>Existing 2048 Notes, and issued under the same CUSIP numbers as the Existing 2048 Notes.</w:t>
            </w:r>
          </w:p>
        </w:tc>
      </w:tr>
      <w:tr>
        <w:trPr>
          <w:trHeight w:val="338"/>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Title of Securities:</w:t>
            </w:r>
          </w:p>
        </w:tc>
        <w:tc>
          <w:tcPr>
            <w:tcW w:w="8100" w:type="dxa"/>
            <w:vAlign w:val="bottom"/>
          </w:tcPr>
          <w:p>
            <w:pPr>
              <w:ind w:left="920"/>
              <w:spacing w:after="0"/>
              <w:rPr>
                <w:sz w:val="20"/>
                <w:szCs w:val="20"/>
                <w:color w:val="auto"/>
              </w:rPr>
            </w:pPr>
            <w:r>
              <w:rPr>
                <w:rFonts w:ascii="Arial" w:cs="Arial" w:eastAsia="Arial" w:hAnsi="Arial"/>
                <w:sz w:val="18"/>
                <w:szCs w:val="18"/>
                <w:color w:val="auto"/>
              </w:rPr>
              <w:t>5.750% Senior Secured Notes due 2048</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Final Maturity Date:</w:t>
            </w:r>
          </w:p>
        </w:tc>
        <w:tc>
          <w:tcPr>
            <w:tcW w:w="8100" w:type="dxa"/>
            <w:vAlign w:val="bottom"/>
          </w:tcPr>
          <w:p>
            <w:pPr>
              <w:ind w:left="920"/>
              <w:spacing w:after="0"/>
              <w:rPr>
                <w:sz w:val="20"/>
                <w:szCs w:val="20"/>
                <w:color w:val="auto"/>
              </w:rPr>
            </w:pPr>
            <w:r>
              <w:rPr>
                <w:rFonts w:ascii="Arial" w:cs="Arial" w:eastAsia="Arial" w:hAnsi="Arial"/>
                <w:sz w:val="18"/>
                <w:szCs w:val="18"/>
                <w:color w:val="auto"/>
              </w:rPr>
              <w:t>April 1, 2048</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Issue Price:</w:t>
            </w:r>
          </w:p>
        </w:tc>
        <w:tc>
          <w:tcPr>
            <w:tcW w:w="8100" w:type="dxa"/>
            <w:vAlign w:val="bottom"/>
          </w:tcPr>
          <w:p>
            <w:pPr>
              <w:ind w:left="920"/>
              <w:spacing w:after="0"/>
              <w:rPr>
                <w:sz w:val="20"/>
                <w:szCs w:val="20"/>
                <w:color w:val="auto"/>
              </w:rPr>
            </w:pPr>
            <w:r>
              <w:rPr>
                <w:rFonts w:ascii="Arial" w:cs="Arial" w:eastAsia="Arial" w:hAnsi="Arial"/>
                <w:sz w:val="18"/>
                <w:szCs w:val="18"/>
                <w:color w:val="auto"/>
                <w:w w:val="91"/>
              </w:rPr>
              <w:t>94.970%, plus accrued and unpaid interest from October 1, 2018 in the amount of $12,697,916.67</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Coupon:</w:t>
            </w:r>
          </w:p>
        </w:tc>
        <w:tc>
          <w:tcPr>
            <w:tcW w:w="8100" w:type="dxa"/>
            <w:vAlign w:val="bottom"/>
          </w:tcPr>
          <w:p>
            <w:pPr>
              <w:ind w:left="920"/>
              <w:spacing w:after="0"/>
              <w:rPr>
                <w:sz w:val="20"/>
                <w:szCs w:val="20"/>
                <w:color w:val="auto"/>
              </w:rPr>
            </w:pPr>
            <w:r>
              <w:rPr>
                <w:rFonts w:ascii="Arial" w:cs="Arial" w:eastAsia="Arial" w:hAnsi="Arial"/>
                <w:sz w:val="18"/>
                <w:szCs w:val="18"/>
                <w:color w:val="auto"/>
              </w:rPr>
              <w:t>5.750%</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w:t>
            </w:r>
          </w:p>
        </w:tc>
        <w:tc>
          <w:tcPr>
            <w:tcW w:w="8100" w:type="dxa"/>
            <w:vAlign w:val="bottom"/>
          </w:tcPr>
          <w:p>
            <w:pPr>
              <w:ind w:left="920"/>
              <w:spacing w:after="0"/>
              <w:rPr>
                <w:sz w:val="20"/>
                <w:szCs w:val="20"/>
                <w:color w:val="auto"/>
              </w:rPr>
            </w:pPr>
            <w:r>
              <w:rPr>
                <w:rFonts w:ascii="Arial" w:cs="Arial" w:eastAsia="Arial" w:hAnsi="Arial"/>
                <w:sz w:val="18"/>
                <w:szCs w:val="18"/>
                <w:color w:val="auto"/>
              </w:rPr>
              <w:t>3.000% due August 15, 2048</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 Treasury:</w:t>
            </w:r>
          </w:p>
        </w:tc>
        <w:tc>
          <w:tcPr>
            <w:tcW w:w="8100" w:type="dxa"/>
            <w:vAlign w:val="bottom"/>
          </w:tcPr>
          <w:p>
            <w:pPr>
              <w:ind w:left="920"/>
              <w:spacing w:after="0"/>
              <w:rPr>
                <w:sz w:val="20"/>
                <w:szCs w:val="20"/>
                <w:color w:val="auto"/>
              </w:rPr>
            </w:pPr>
            <w:r>
              <w:rPr>
                <w:rFonts w:ascii="Arial" w:cs="Arial" w:eastAsia="Arial" w:hAnsi="Arial"/>
                <w:sz w:val="18"/>
                <w:szCs w:val="18"/>
                <w:color w:val="auto"/>
              </w:rPr>
              <w:t>305 basis points</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w w:val="91"/>
              </w:rPr>
              <w:t>Benchmark Treasury Price and Yield:</w:t>
            </w:r>
          </w:p>
        </w:tc>
        <w:tc>
          <w:tcPr>
            <w:tcW w:w="8100" w:type="dxa"/>
            <w:vAlign w:val="bottom"/>
          </w:tcPr>
          <w:p>
            <w:pPr>
              <w:ind w:left="920"/>
              <w:spacing w:after="0"/>
              <w:rPr>
                <w:sz w:val="20"/>
                <w:szCs w:val="20"/>
                <w:color w:val="auto"/>
              </w:rPr>
            </w:pPr>
            <w:r>
              <w:rPr>
                <w:rFonts w:ascii="Arial" w:cs="Arial" w:eastAsia="Arial" w:hAnsi="Arial"/>
                <w:sz w:val="18"/>
                <w:szCs w:val="18"/>
                <w:color w:val="auto"/>
              </w:rPr>
              <w:t>98-20; 3.071%</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8100" w:type="dxa"/>
            <w:vAlign w:val="bottom"/>
          </w:tcPr>
          <w:p>
            <w:pPr>
              <w:ind w:left="920"/>
              <w:spacing w:after="0"/>
              <w:rPr>
                <w:sz w:val="20"/>
                <w:szCs w:val="20"/>
                <w:color w:val="auto"/>
              </w:rPr>
            </w:pPr>
            <w:r>
              <w:rPr>
                <w:rFonts w:ascii="Arial" w:cs="Arial" w:eastAsia="Arial" w:hAnsi="Arial"/>
                <w:sz w:val="18"/>
                <w:szCs w:val="18"/>
                <w:color w:val="auto"/>
              </w:rPr>
              <w:t>6.121%</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100" w:type="dxa"/>
            <w:vAlign w:val="bottom"/>
          </w:tcPr>
          <w:p>
            <w:pPr>
              <w:ind w:left="920"/>
              <w:spacing w:after="0"/>
              <w:rPr>
                <w:sz w:val="20"/>
                <w:szCs w:val="20"/>
                <w:color w:val="auto"/>
              </w:rPr>
            </w:pPr>
            <w:r>
              <w:rPr>
                <w:rFonts w:ascii="Arial" w:cs="Arial" w:eastAsia="Arial" w:hAnsi="Arial"/>
                <w:sz w:val="18"/>
                <w:szCs w:val="18"/>
                <w:color w:val="auto"/>
              </w:rPr>
              <w:t>April 1 and October 1</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Record Dates:</w:t>
            </w:r>
          </w:p>
        </w:tc>
        <w:tc>
          <w:tcPr>
            <w:tcW w:w="8100" w:type="dxa"/>
            <w:vAlign w:val="bottom"/>
          </w:tcPr>
          <w:p>
            <w:pPr>
              <w:ind w:left="920"/>
              <w:spacing w:after="0"/>
              <w:rPr>
                <w:sz w:val="20"/>
                <w:szCs w:val="20"/>
                <w:color w:val="auto"/>
              </w:rPr>
            </w:pPr>
            <w:r>
              <w:rPr>
                <w:rFonts w:ascii="Arial" w:cs="Arial" w:eastAsia="Arial" w:hAnsi="Arial"/>
                <w:sz w:val="18"/>
                <w:szCs w:val="18"/>
                <w:color w:val="auto"/>
              </w:rPr>
              <w:t>March 15 and September 15</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First Interest Payment Date:</w:t>
            </w:r>
          </w:p>
        </w:tc>
        <w:tc>
          <w:tcPr>
            <w:tcW w:w="8100" w:type="dxa"/>
            <w:vAlign w:val="bottom"/>
          </w:tcPr>
          <w:p>
            <w:pPr>
              <w:ind w:left="920"/>
              <w:spacing w:after="0"/>
              <w:rPr>
                <w:sz w:val="20"/>
                <w:szCs w:val="20"/>
                <w:color w:val="auto"/>
              </w:rPr>
            </w:pPr>
            <w:r>
              <w:rPr>
                <w:rFonts w:ascii="Arial" w:cs="Arial" w:eastAsia="Arial" w:hAnsi="Arial"/>
                <w:sz w:val="18"/>
                <w:szCs w:val="18"/>
                <w:color w:val="auto"/>
              </w:rPr>
              <w:t>April 1, 2019</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8100" w:type="dxa"/>
            <w:vAlign w:val="bottom"/>
          </w:tcPr>
          <w:p>
            <w:pPr>
              <w:ind w:left="920"/>
              <w:spacing w:after="0"/>
              <w:rPr>
                <w:sz w:val="20"/>
                <w:szCs w:val="20"/>
                <w:color w:val="auto"/>
              </w:rPr>
            </w:pPr>
            <w:r>
              <w:rPr>
                <w:rFonts w:ascii="Arial" w:cs="Arial" w:eastAsia="Arial" w:hAnsi="Arial"/>
                <w:sz w:val="18"/>
                <w:szCs w:val="18"/>
                <w:color w:val="auto"/>
              </w:rPr>
              <w:t>161175 BN3</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ISIN Number:</w:t>
            </w:r>
          </w:p>
        </w:tc>
        <w:tc>
          <w:tcPr>
            <w:tcW w:w="8100" w:type="dxa"/>
            <w:vAlign w:val="bottom"/>
          </w:tcPr>
          <w:p>
            <w:pPr>
              <w:ind w:left="920"/>
              <w:spacing w:after="0"/>
              <w:rPr>
                <w:sz w:val="20"/>
                <w:szCs w:val="20"/>
                <w:color w:val="auto"/>
              </w:rPr>
            </w:pPr>
            <w:r>
              <w:rPr>
                <w:rFonts w:ascii="Arial" w:cs="Arial" w:eastAsia="Arial" w:hAnsi="Arial"/>
                <w:sz w:val="18"/>
                <w:szCs w:val="18"/>
                <w:color w:val="auto"/>
              </w:rPr>
              <w:t>US161175BN35</w:t>
            </w:r>
          </w:p>
        </w:tc>
      </w:tr>
      <w:tr>
        <w:trPr>
          <w:trHeight w:val="310"/>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Optional Redemption:</w:t>
            </w:r>
          </w:p>
        </w:tc>
        <w:tc>
          <w:tcPr>
            <w:tcW w:w="8100" w:type="dxa"/>
            <w:vAlign w:val="bottom"/>
          </w:tcPr>
          <w:p>
            <w:pPr>
              <w:ind w:left="920"/>
              <w:spacing w:after="0"/>
              <w:rPr>
                <w:sz w:val="20"/>
                <w:szCs w:val="20"/>
                <w:color w:val="auto"/>
              </w:rPr>
            </w:pPr>
            <w:r>
              <w:rPr>
                <w:rFonts w:ascii="Arial" w:cs="Arial" w:eastAsia="Arial" w:hAnsi="Arial"/>
                <w:sz w:val="18"/>
                <w:szCs w:val="18"/>
                <w:color w:val="auto"/>
                <w:w w:val="94"/>
              </w:rPr>
              <w:t>Prior to the Par Call Date (as defined below), the 2048 Notes will be redeemable, in whole or in</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2"/>
              </w:rPr>
              <w:t>part, at the Issuers’ option, at any time or from time to time, on at least 15 days’ but not more than</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0"/>
              </w:rPr>
              <w:t>30 days’ prior notice to each Holder of the 2048 Notes to be redeemed, at a redemption price equal</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7"/>
              </w:rPr>
              <w:t>to 100% of the principal amount thereof plus the Applicable Premium (as defined below) plus</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0"/>
              </w:rPr>
              <w:t>accrued but unpaid interest to but excluding the redemption date (subject to the rights of Holders of</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w w:val="95"/>
              </w:rPr>
              <w:t>the 2048 Notes on a record date to receive the related interest payment on the related interest</w:t>
            </w: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8100" w:type="dxa"/>
            <w:vAlign w:val="bottom"/>
          </w:tcPr>
          <w:p>
            <w:pPr>
              <w:ind w:left="920"/>
              <w:spacing w:after="0"/>
              <w:rPr>
                <w:sz w:val="20"/>
                <w:szCs w:val="20"/>
                <w:color w:val="auto"/>
              </w:rPr>
            </w:pPr>
            <w:r>
              <w:rPr>
                <w:rFonts w:ascii="Arial" w:cs="Arial" w:eastAsia="Arial" w:hAnsi="Arial"/>
                <w:sz w:val="18"/>
                <w:szCs w:val="18"/>
                <w:color w:val="auto"/>
              </w:rPr>
              <w:t>payment date).</w:t>
            </w:r>
          </w:p>
        </w:tc>
      </w:tr>
      <w:tr>
        <w:trPr>
          <w:trHeight w:val="196"/>
        </w:trPr>
        <w:tc>
          <w:tcPr>
            <w:tcW w:w="20" w:type="dxa"/>
            <w:vAlign w:val="bottom"/>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8100" w:type="dxa"/>
            <w:vAlign w:val="bottom"/>
            <w:tcBorders>
              <w:bottom w:val="single" w:sz="8" w:color="auto"/>
            </w:tcBorders>
          </w:tcPr>
          <w:p>
            <w:pPr>
              <w:spacing w:after="0"/>
              <w:rPr>
                <w:sz w:val="17"/>
                <w:szCs w:val="17"/>
                <w:color w:val="auto"/>
              </w:rPr>
            </w:pPr>
          </w:p>
        </w:tc>
      </w:tr>
      <w:tr>
        <w:trPr>
          <w:trHeight w:val="39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100" w:type="dxa"/>
            <w:vAlign w:val="bottom"/>
          </w:tcPr>
          <w:p>
            <w:pPr>
              <w:jc w:val="center"/>
              <w:ind w:right="2870"/>
              <w:spacing w:after="0"/>
              <w:rPr>
                <w:sz w:val="20"/>
                <w:szCs w:val="20"/>
                <w:color w:val="auto"/>
              </w:rPr>
            </w:pPr>
            <w:r>
              <w:rPr>
                <w:rFonts w:ascii="Arial" w:cs="Arial" w:eastAsia="Arial" w:hAnsi="Arial"/>
                <w:sz w:val="18"/>
                <w:szCs w:val="18"/>
                <w:color w:val="auto"/>
                <w:w w:val="99"/>
              </w:rPr>
              <w:t>3</w:t>
            </w:r>
          </w:p>
        </w:tc>
      </w:tr>
    </w:tbl>
    <w:p>
      <w:pPr>
        <w:sectPr>
          <w:pgSz w:w="11900" w:h="16838" w:orient="portrait"/>
          <w:cols w:equalWidth="0" w:num="1">
            <w:col w:w="11040"/>
          </w:cols>
          <w:pgMar w:left="440" w:top="274" w:right="41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Pricing Term Sheet is qualified in its entirety by reference to the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99770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20" w:right="80"/>
        <w:spacing w:after="0" w:line="308" w:lineRule="auto"/>
        <w:rPr>
          <w:sz w:val="20"/>
          <w:szCs w:val="20"/>
          <w:color w:val="auto"/>
        </w:rPr>
      </w:pPr>
      <w:r>
        <w:rPr>
          <w:rFonts w:ascii="Arial" w:cs="Arial" w:eastAsia="Arial" w:hAnsi="Arial"/>
          <w:sz w:val="17"/>
          <w:szCs w:val="17"/>
          <w:color w:val="auto"/>
        </w:rPr>
        <w:t>“Applicable Premium” means with respect to a 2048 Note the greater of (A) 1.0% of the principal amount of such 2048 Note and (B) on any redemption date, the excess (to the extent positive) of:</w:t>
      </w:r>
    </w:p>
    <w:p>
      <w:pPr>
        <w:spacing w:after="0" w:line="52" w:lineRule="exact"/>
        <w:rPr>
          <w:sz w:val="20"/>
          <w:szCs w:val="20"/>
          <w:color w:val="auto"/>
        </w:rPr>
      </w:pPr>
    </w:p>
    <w:p>
      <w:pPr>
        <w:ind w:left="3320" w:right="40"/>
        <w:spacing w:after="0" w:line="257" w:lineRule="auto"/>
        <w:rPr>
          <w:sz w:val="20"/>
          <w:szCs w:val="20"/>
          <w:color w:val="auto"/>
        </w:rPr>
      </w:pPr>
      <w:r>
        <w:rPr>
          <w:rFonts w:ascii="Arial" w:cs="Arial" w:eastAsia="Arial" w:hAnsi="Arial"/>
          <w:sz w:val="18"/>
          <w:szCs w:val="18"/>
          <w:color w:val="auto"/>
        </w:rPr>
        <w:t>(a) the present value at such redemption date of (i) 100% of the principal amount of such 2048 Note on the Par Call Date, plus (ii) all required interest payments due on such 2048 Note to and including the Par Call Date (excluding accrued but unpaid interest to the redemption date), computed upon the redemption date using a discount rate equal to the Applicable Treasury Rate at such redemption date plus 45 basis points; over</w:t>
      </w:r>
    </w:p>
    <w:p>
      <w:pPr>
        <w:spacing w:after="0" w:line="94" w:lineRule="exact"/>
        <w:rPr>
          <w:sz w:val="20"/>
          <w:szCs w:val="20"/>
          <w:color w:val="auto"/>
        </w:rPr>
      </w:pPr>
    </w:p>
    <w:p>
      <w:pPr>
        <w:ind w:left="3320" w:right="360"/>
        <w:spacing w:after="0" w:line="277" w:lineRule="auto"/>
        <w:rPr>
          <w:sz w:val="20"/>
          <w:szCs w:val="20"/>
          <w:color w:val="auto"/>
        </w:rPr>
      </w:pPr>
      <w:r>
        <w:rPr>
          <w:rFonts w:ascii="Arial" w:cs="Arial" w:eastAsia="Arial" w:hAnsi="Arial"/>
          <w:sz w:val="18"/>
          <w:szCs w:val="18"/>
          <w:color w:val="auto"/>
        </w:rPr>
        <w:t>(b) the outstanding principal amount of such 2048 Note; in each case, as calculated by the Issuer or on behalf of the Issuers by such Person as the Issuers shall designate.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“Par Call Date” means October 1, 2047.</w:t>
            </w:r>
          </w:p>
        </w:tc>
      </w:tr>
      <w:tr>
        <w:trPr>
          <w:trHeight w:val="32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w w:val="93"/>
              </w:rPr>
              <w:t>On or after the Par Call Date for the 2048 Notes, the Issuers may redeem the 2048 Notes, in whole or in</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w w:val="93"/>
              </w:rPr>
              <w:t>part, at the Issuers’ option, on at least 15 days’ but not more than 30 days’ prior notice to the registered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w w:val="95"/>
              </w:rPr>
              <w:t>holders thereof at a redemption price equal to 100% of the principal amount of such 2048 Notes to be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w w:val="91"/>
              </w:rPr>
              <w:t>redeemed plus accrued and unpaid interest on the principal amount being redeemed to, but not including,</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w w:val="95"/>
              </w:rPr>
              <w:t>the redemption date (subject to the rights of Holders of the 2048 Notes on a record date to receive the</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related interest payment on the related interest payment date).</w:t>
            </w:r>
          </w:p>
        </w:tc>
      </w:tr>
      <w:tr>
        <w:trPr>
          <w:trHeight w:val="33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160" w:type="dxa"/>
            <w:vAlign w:val="bottom"/>
          </w:tcPr>
          <w:p>
            <w:pPr>
              <w:ind w:left="1060"/>
              <w:spacing w:after="0"/>
              <w:rPr>
                <w:sz w:val="20"/>
                <w:szCs w:val="20"/>
                <w:color w:val="auto"/>
              </w:rPr>
            </w:pPr>
            <w:r>
              <w:rPr>
                <w:rFonts w:ascii="Arial" w:cs="Arial" w:eastAsia="Arial" w:hAnsi="Arial"/>
                <w:sz w:val="18"/>
                <w:szCs w:val="18"/>
                <w:b w:val="1"/>
                <w:bCs w:val="1"/>
                <w:color w:val="auto"/>
              </w:rPr>
              <w:t>Terms Applicable to Each Series of Notes</w:t>
            </w:r>
          </w:p>
        </w:tc>
      </w:tr>
      <w:tr>
        <w:trPr>
          <w:trHeight w:val="310"/>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Use of Proceeds:</w:t>
            </w:r>
          </w:p>
        </w:tc>
        <w:tc>
          <w:tcPr>
            <w:tcW w:w="8160" w:type="dxa"/>
            <w:vAlign w:val="bottom"/>
          </w:tcPr>
          <w:p>
            <w:pPr>
              <w:ind w:left="440"/>
              <w:spacing w:after="0"/>
              <w:rPr>
                <w:sz w:val="20"/>
                <w:szCs w:val="20"/>
                <w:color w:val="auto"/>
              </w:rPr>
            </w:pPr>
            <w:r>
              <w:rPr>
                <w:rFonts w:ascii="Arial" w:cs="Arial" w:eastAsia="Arial" w:hAnsi="Arial"/>
                <w:sz w:val="18"/>
                <w:szCs w:val="18"/>
                <w:color w:val="auto"/>
                <w:w w:val="91"/>
              </w:rPr>
              <w:t>The Issuers intend to use the proceeds of this offering (i) for general corporate purposes, including to fund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w w:val="98"/>
              </w:rPr>
              <w:t>potential buybacks of Class A common stock of Charter Communications, Inc. or common units of</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w w:val="94"/>
              </w:rPr>
              <w:t>Charter Communications Holdings, LLC, a subsidiary of Charter Communications, Inc. and (ii) to repay</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w w:val="95"/>
              </w:rPr>
              <w:t>certain indebtedness, including to repurchase, redeem or repay at maturity Time Warner Cable, LLC’s</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w w:val="99"/>
              </w:rPr>
              <w:t>8.750% senior notes due 2019 and/or to repay a portion of the outstanding balance under Charter</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Communications Operating, LLC’s revolving credit facility.</w:t>
            </w:r>
          </w:p>
        </w:tc>
      </w:tr>
      <w:tr>
        <w:trPr>
          <w:trHeight w:val="310"/>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Joint Book-Running Managers:</w:t>
            </w:r>
          </w:p>
        </w:tc>
        <w:tc>
          <w:tcPr>
            <w:tcW w:w="8160" w:type="dxa"/>
            <w:vAlign w:val="bottom"/>
          </w:tcPr>
          <w:p>
            <w:pPr>
              <w:ind w:left="44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Mizuho Securities USA LLC</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Morgan Stanley &amp; Co. LLC</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1360"/>
              <w:spacing w:after="0"/>
              <w:rPr>
                <w:sz w:val="20"/>
                <w:szCs w:val="20"/>
                <w:color w:val="auto"/>
              </w:rPr>
            </w:pPr>
            <w:r>
              <w:rPr>
                <w:rFonts w:ascii="Arial" w:cs="Arial" w:eastAsia="Arial" w:hAnsi="Arial"/>
                <w:sz w:val="18"/>
                <w:szCs w:val="18"/>
                <w:color w:val="auto"/>
              </w:rPr>
              <w:t>Incorporated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Goldman Sachs &amp; Co. LLC</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RBC Capital Markets, LLC</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UBS Securities LLC</w:t>
            </w: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160" w:type="dxa"/>
            <w:vAlign w:val="bottom"/>
          </w:tcPr>
          <w:p>
            <w:pPr>
              <w:ind w:left="440"/>
              <w:spacing w:after="0"/>
              <w:rPr>
                <w:sz w:val="20"/>
                <w:szCs w:val="20"/>
                <w:color w:val="auto"/>
              </w:rPr>
            </w:pPr>
            <w:r>
              <w:rPr>
                <w:rFonts w:ascii="Arial" w:cs="Arial" w:eastAsia="Arial" w:hAnsi="Arial"/>
                <w:sz w:val="18"/>
                <w:szCs w:val="18"/>
                <w:color w:val="auto"/>
              </w:rPr>
              <w:t>Wells Fargo Securities, LLC</w:t>
            </w:r>
          </w:p>
        </w:tc>
      </w:tr>
      <w:tr>
        <w:trPr>
          <w:trHeight w:val="210"/>
        </w:trPr>
        <w:tc>
          <w:tcPr>
            <w:tcW w:w="2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8160" w:type="dxa"/>
            <w:vAlign w:val="bottom"/>
            <w:tcBorders>
              <w:bottom w:val="single" w:sz="8" w:color="auto"/>
            </w:tcBorders>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160" w:type="dxa"/>
            <w:vAlign w:val="bottom"/>
          </w:tcPr>
          <w:p>
            <w:pPr>
              <w:ind w:left="258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40"/>
          </w:cols>
          <w:pgMar w:left="440" w:top="274" w:right="419"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1320"/>
              <w:spacing w:after="0"/>
              <w:rPr>
                <w:sz w:val="20"/>
                <w:szCs w:val="20"/>
                <w:color w:val="auto"/>
              </w:rPr>
            </w:pPr>
            <w:r>
              <w:rPr>
                <w:rFonts w:ascii="Arial" w:cs="Arial" w:eastAsia="Arial" w:hAnsi="Arial"/>
                <w:sz w:val="18"/>
                <w:szCs w:val="18"/>
                <w:b w:val="1"/>
                <w:bCs w:val="1"/>
                <w:i w:val="1"/>
                <w:iCs w:val="1"/>
                <w:color w:val="auto"/>
              </w:rPr>
              <w:t>This Pricing Term Sheet is qualified in its entirety by reference to the</w:t>
            </w: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0" w:type="dxa"/>
            <w:vAlign w:val="bottom"/>
          </w:tcPr>
          <w:p>
            <w:pPr>
              <w:ind w:left="2520"/>
              <w:spacing w:after="0"/>
              <w:rPr>
                <w:sz w:val="20"/>
                <w:szCs w:val="20"/>
                <w:color w:val="auto"/>
              </w:rPr>
            </w:pPr>
            <w:r>
              <w:rPr>
                <w:rFonts w:ascii="Arial" w:cs="Arial" w:eastAsia="Arial" w:hAnsi="Arial"/>
                <w:sz w:val="18"/>
                <w:szCs w:val="18"/>
                <w:b w:val="1"/>
                <w:bCs w:val="1"/>
                <w:i w:val="1"/>
                <w:iCs w:val="1"/>
                <w:color w:val="auto"/>
              </w:rPr>
              <w:t>Preliminary Prospectus Supplement.</w:t>
            </w:r>
          </w:p>
        </w:tc>
      </w:tr>
      <w:tr>
        <w:trPr>
          <w:trHeight w:val="75"/>
        </w:trPr>
        <w:tc>
          <w:tcPr>
            <w:tcW w:w="20" w:type="dxa"/>
            <w:vAlign w:val="bottom"/>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9400" w:type="dxa"/>
            <w:vAlign w:val="bottom"/>
            <w:tcBorders>
              <w:bottom w:val="single" w:sz="8" w:color="auto"/>
            </w:tcBorders>
          </w:tcPr>
          <w:p>
            <w:pPr>
              <w:spacing w:after="0"/>
              <w:rPr>
                <w:sz w:val="6"/>
                <w:szCs w:val="6"/>
                <w:color w:val="auto"/>
              </w:rPr>
            </w:pPr>
          </w:p>
        </w:tc>
      </w:tr>
      <w:tr>
        <w:trPr>
          <w:trHeight w:val="715"/>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Co-Managers:</w:t>
            </w:r>
          </w:p>
        </w:tc>
        <w:tc>
          <w:tcPr>
            <w:tcW w:w="9400" w:type="dxa"/>
            <w:vAlign w:val="bottom"/>
          </w:tcPr>
          <w:p>
            <w:pPr>
              <w:ind w:left="340"/>
              <w:spacing w:after="0"/>
              <w:rPr>
                <w:sz w:val="20"/>
                <w:szCs w:val="20"/>
                <w:color w:val="auto"/>
              </w:rPr>
            </w:pPr>
            <w:r>
              <w:rPr>
                <w:rFonts w:ascii="Arial" w:cs="Arial" w:eastAsia="Arial" w:hAnsi="Arial"/>
                <w:sz w:val="18"/>
                <w:szCs w:val="18"/>
                <w:color w:val="auto"/>
              </w:rPr>
              <w:t>MUFG Securities Americas Inc.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TD Securities (USA) LLC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Scotia Capital (USA) Inc.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SMBC Nikko Securities America, Inc.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SunTrust Robinson Humphrey, Inc.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Credit Agricole Securities (USA) Inc.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U.S. Bancorp Investments, Inc.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LionTree Advisors LLC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Academy Securities, Inc.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MFR Securities, Inc.</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Samuel A. Ramirez &amp; Company, Inc.</w:t>
            </w: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The Williams Capital Group, L.P.</w:t>
            </w:r>
          </w:p>
        </w:tc>
      </w:tr>
      <w:tr>
        <w:trPr>
          <w:trHeight w:val="338"/>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Trade Date:</w:t>
            </w:r>
          </w:p>
        </w:tc>
        <w:tc>
          <w:tcPr>
            <w:tcW w:w="9400" w:type="dxa"/>
            <w:vAlign w:val="bottom"/>
          </w:tcPr>
          <w:p>
            <w:pPr>
              <w:ind w:left="340"/>
              <w:spacing w:after="0"/>
              <w:rPr>
                <w:sz w:val="20"/>
                <w:szCs w:val="20"/>
                <w:color w:val="auto"/>
              </w:rPr>
            </w:pPr>
            <w:r>
              <w:rPr>
                <w:rFonts w:ascii="Arial" w:cs="Arial" w:eastAsia="Arial" w:hAnsi="Arial"/>
                <w:sz w:val="18"/>
                <w:szCs w:val="18"/>
                <w:color w:val="auto"/>
              </w:rPr>
              <w:t>January 14, 2019</w:t>
            </w:r>
          </w:p>
        </w:tc>
      </w:tr>
      <w:tr>
        <w:trPr>
          <w:trHeight w:val="324"/>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Settlement Date:</w:t>
            </w:r>
          </w:p>
        </w:tc>
        <w:tc>
          <w:tcPr>
            <w:tcW w:w="9400" w:type="dxa"/>
            <w:vAlign w:val="bottom"/>
          </w:tcPr>
          <w:p>
            <w:pPr>
              <w:ind w:left="340"/>
              <w:spacing w:after="0"/>
              <w:rPr>
                <w:sz w:val="20"/>
                <w:szCs w:val="20"/>
                <w:color w:val="auto"/>
              </w:rPr>
            </w:pPr>
            <w:r>
              <w:rPr>
                <w:rFonts w:ascii="Arial" w:cs="Arial" w:eastAsia="Arial" w:hAnsi="Arial"/>
                <w:sz w:val="18"/>
                <w:szCs w:val="18"/>
                <w:color w:val="auto"/>
              </w:rPr>
              <w:t>January 17, 2019 (T+3)</w:t>
            </w:r>
          </w:p>
        </w:tc>
      </w:tr>
      <w:tr>
        <w:trPr>
          <w:trHeight w:val="323"/>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w w:val="95"/>
              </w:rPr>
              <w:t>We expect that delivery of the 2029 Notes and the 2048 Notes (collectively, the “Notes”) will be made to investors on or</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w w:val="92"/>
              </w:rPr>
              <w:t>about January 17, 2019, which will be the third business day following the date of this Pricing Term Sheet (such settlement</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w w:val="94"/>
              </w:rPr>
              <w:t>cycle being herein referred to as “T+3”). Under Rule 15c6-1 under the Exchange Act, trades in the secondary market are</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w w:val="98"/>
              </w:rPr>
              <w:t>required to settle in two business days, unless the parties to any such trade expressly agree otherwise. Accordingly,</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w w:val="94"/>
              </w:rPr>
              <w:t>purchasers who wish to trade the Notes on the date hereof will be required, by virtue of the fact that the Notes initially will</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w w:val="94"/>
              </w:rPr>
              <w:t>settle in T+3, to specify an alternate settlement arrangement at the time of any such trade to prevent a failed settlement.</w:t>
            </w: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0" w:type="dxa"/>
            <w:vAlign w:val="bottom"/>
          </w:tcPr>
          <w:p>
            <w:pPr>
              <w:ind w:left="340"/>
              <w:spacing w:after="0"/>
              <w:rPr>
                <w:sz w:val="20"/>
                <w:szCs w:val="20"/>
                <w:color w:val="auto"/>
              </w:rPr>
            </w:pPr>
            <w:r>
              <w:rPr>
                <w:rFonts w:ascii="Arial" w:cs="Arial" w:eastAsia="Arial" w:hAnsi="Arial"/>
                <w:sz w:val="18"/>
                <w:szCs w:val="18"/>
                <w:color w:val="auto"/>
              </w:rPr>
              <w:t>Purchasers of the Notes who wish to trade the Notes hereunder on the date hereof should consult their advisors.</w:t>
            </w:r>
          </w:p>
        </w:tc>
      </w:tr>
      <w:tr>
        <w:trPr>
          <w:trHeight w:val="338"/>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Distribution:</w:t>
            </w:r>
          </w:p>
        </w:tc>
        <w:tc>
          <w:tcPr>
            <w:tcW w:w="9400" w:type="dxa"/>
            <w:vAlign w:val="bottom"/>
          </w:tcPr>
          <w:p>
            <w:pPr>
              <w:ind w:left="340"/>
              <w:spacing w:after="0"/>
              <w:rPr>
                <w:sz w:val="20"/>
                <w:szCs w:val="20"/>
                <w:color w:val="auto"/>
              </w:rPr>
            </w:pPr>
            <w:r>
              <w:rPr>
                <w:rFonts w:ascii="Arial" w:cs="Arial" w:eastAsia="Arial" w:hAnsi="Arial"/>
                <w:sz w:val="18"/>
                <w:szCs w:val="18"/>
                <w:color w:val="auto"/>
              </w:rPr>
              <w:t>SEC Registered (Registration No. 333-222241-213)</w:t>
            </w:r>
          </w:p>
        </w:tc>
      </w:tr>
    </w:tbl>
    <w:p>
      <w:pPr>
        <w:spacing w:after="0" w:line="30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 xml:space="preserve">The Issuers and the guarantors have filed a registration statement (including a prospectus) with the Securities and Exchange Commission (“SEC”) for the offering to which this communication relates. Before you invest, you should read the prospectus in that registration statement and other documents that the Issuers and the guarantors have filed with the SEC for more complete information about the Issuers, the guarantors and this offering. You may get these documents for free by visiting EDGAR on the SEC Web site at </w:t>
      </w:r>
      <w:r>
        <w:rPr>
          <w:rFonts w:ascii="Arial" w:cs="Arial" w:eastAsia="Arial" w:hAnsi="Arial"/>
          <w:sz w:val="17"/>
          <w:szCs w:val="17"/>
          <w:b w:val="1"/>
          <w:bCs w:val="1"/>
          <w:u w:val="single" w:color="auto"/>
          <w:color w:val="auto"/>
        </w:rPr>
        <w:t>www.sec.gov</w:t>
      </w:r>
      <w:r>
        <w:rPr>
          <w:rFonts w:ascii="Arial" w:cs="Arial" w:eastAsia="Arial" w:hAnsi="Arial"/>
          <w:sz w:val="17"/>
          <w:szCs w:val="17"/>
          <w:b w:val="1"/>
          <w:bCs w:val="1"/>
          <w:color w:val="auto"/>
        </w:rPr>
        <w:t xml:space="preserve">. Alternatively, copies of the preliminary prospectus supplement and accompanying prospectus may be obtained by contacting Citigroup Global Markets Inc., c/o Broadridge Financial Solutions, 1155 Long Island Avenue, Edgewood, NY 11717; Telephone: (800) 831-9146; E-mail: </w:t>
      </w:r>
      <w:r>
        <w:rPr>
          <w:rFonts w:ascii="Arial" w:cs="Arial" w:eastAsia="Arial" w:hAnsi="Arial"/>
          <w:sz w:val="17"/>
          <w:szCs w:val="17"/>
          <w:b w:val="1"/>
          <w:bCs w:val="1"/>
          <w:u w:val="single" w:color="auto"/>
          <w:color w:val="auto"/>
        </w:rPr>
        <w:t>prospectus@citi.com</w:t>
      </w:r>
      <w:r>
        <w:rPr>
          <w:rFonts w:ascii="Arial" w:cs="Arial" w:eastAsia="Arial" w:hAnsi="Arial"/>
          <w:sz w:val="17"/>
          <w:szCs w:val="17"/>
          <w:b w:val="1"/>
          <w:bCs w:val="1"/>
          <w:color w:val="auto"/>
        </w:rPr>
        <w:t xml:space="preserve">, or by contacting Deutsche Bank Securities Inc., Attention: Prospectus Group, 60 Wall Street, New York, NY 10005; Telephone: (800) 503-4611; E-mail: </w:t>
      </w:r>
      <w:r>
        <w:rPr>
          <w:rFonts w:ascii="Arial" w:cs="Arial" w:eastAsia="Arial" w:hAnsi="Arial"/>
          <w:sz w:val="17"/>
          <w:szCs w:val="17"/>
          <w:b w:val="1"/>
          <w:bCs w:val="1"/>
          <w:u w:val="single" w:color="auto"/>
          <w:color w:val="auto"/>
        </w:rPr>
        <w:t>prospectus.CPDG@db.com</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699770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sectPr>
      <w:pgSz w:w="11900" w:h="16838" w:orient="portrait"/>
      <w:cols w:equalWidth="0" w:num="1">
        <w:col w:w="11040"/>
      </w:cols>
      <w:pgMar w:left="4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Roman"/>
      <w:start w:val="1"/>
    </w:lvl>
  </w:abstractNum>
  <w:abstractNum w:abstractNumId="2">
    <w:nsid w:val="628C895D"/>
    <w:multiLevelType w:val="hybridMultilevel"/>
    <w:lvl w:ilvl="0">
      <w:lvlJc w:val="left"/>
      <w:lvlText w:val="(%1)"/>
      <w:numFmt w:val="lowerRoman"/>
      <w:start w:val="3"/>
    </w:lvl>
  </w:abstractNum>
  <w:abstractNum w:abstractNumId="3">
    <w:nsid w:val="333AB105"/>
    <w:multiLevelType w:val="hybridMultilevel"/>
    <w:lvl w:ilvl="0">
      <w:lvlJc w:val="left"/>
      <w:lvlText w:val="%1"/>
      <w:numFmt w:val="upperLetter"/>
      <w:start w:val="29"/>
    </w:lvl>
  </w:abstractNum>
  <w:abstractNum w:abstractNumId="4">
    <w:nsid w:val="721DA317"/>
    <w:multiLevelType w:val="hybridMultilevel"/>
    <w:lvl w:ilvl="0">
      <w:lvlJc w:val="left"/>
      <w:lvlText w:val="%1."/>
      <w:numFmt w:val="decimal"/>
      <w:start w:val="1"/>
    </w:lvl>
    <w:lvl w:ilvl="1">
      <w:lvlJc w:val="left"/>
      <w:lvlText w:val="(%2)"/>
      <w:numFmt w:val="lowerLetter"/>
      <w:start w:val="1"/>
    </w:lvl>
  </w:abstractNum>
  <w:abstractNum w:abstractNumId="5">
    <w:nsid w:val="2443A858"/>
    <w:multiLevelType w:val="hybridMultilevel"/>
    <w:lvl w:ilvl="0">
      <w:lvlJc w:val="left"/>
      <w:lvlText w:val="(%1)"/>
      <w:numFmt w:val="lowerLetter"/>
      <w:start w:val="3"/>
    </w:lvl>
  </w:abstractNum>
  <w:abstractNum w:abstractNumId="6">
    <w:nsid w:val="2D1D5AE9"/>
    <w:multiLevelType w:val="hybridMultilevel"/>
    <w:lvl w:ilvl="0">
      <w:lvlJc w:val="left"/>
      <w:lvlText w:val="(%1)"/>
      <w:numFmt w:val="lowerLetter"/>
      <w:start w:val="6"/>
    </w:lvl>
  </w:abstractNum>
  <w:abstractNum w:abstractNumId="7">
    <w:nsid w:val="6763845E"/>
    <w:multiLevelType w:val="hybridMultilevel"/>
    <w:lvl w:ilvl="0">
      <w:lvlJc w:val="left"/>
      <w:lvlText w:val="(%1)"/>
      <w:numFmt w:val="lowerLetter"/>
      <w:start w:val="12"/>
    </w:lvl>
  </w:abstractNum>
  <w:abstractNum w:abstractNumId="8">
    <w:nsid w:val="75A2A8D4"/>
    <w:multiLevelType w:val="hybridMultilevel"/>
    <w:lvl w:ilvl="0">
      <w:lvlJc w:val="left"/>
      <w:lvlText w:val="(%1)"/>
      <w:numFmt w:val="lowerLetter"/>
      <w:start w:val="18"/>
    </w:lvl>
  </w:abstractNum>
  <w:abstractNum w:abstractNumId="9">
    <w:nsid w:val="8EDBDAB"/>
    <w:multiLevelType w:val="hybridMultilevel"/>
    <w:lvl w:ilvl="0">
      <w:lvlJc w:val="left"/>
      <w:lvlText w:val="(%1)"/>
      <w:numFmt w:val="lowerLetter"/>
      <w:start w:val="21"/>
    </w:lvl>
  </w:abstractNum>
  <w:abstractNum w:abstractNumId="10">
    <w:nsid w:val="79838CB2"/>
    <w:multiLevelType w:val="hybridMultilevel"/>
    <w:lvl w:ilvl="0">
      <w:lvlJc w:val="left"/>
      <w:lvlText w:val="%1"/>
      <w:numFmt w:val="lowerLetter"/>
      <w:start w:val="1"/>
    </w:lvl>
    <w:lvl w:ilvl="1">
      <w:lvlJc w:val="left"/>
      <w:lvlText w:val="(%2)"/>
      <w:numFmt w:val="lowerLetter"/>
      <w:start w:val="27"/>
    </w:lvl>
  </w:abstractNum>
  <w:abstractNum w:abstractNumId="11">
    <w:nsid w:val="4353D0CD"/>
    <w:multiLevelType w:val="hybridMultilevel"/>
    <w:lvl w:ilvl="0">
      <w:lvlJc w:val="left"/>
      <w:lvlText w:val="(%1)"/>
      <w:numFmt w:val="lowerLetter"/>
      <w:start w:val="35"/>
    </w:lvl>
    <w:lvl w:ilvl="1">
      <w:lvlJc w:val="left"/>
      <w:lvlText w:val="(%2)"/>
      <w:numFmt w:val="lowerLetter"/>
      <w:start w:val="31"/>
    </w:lvl>
  </w:abstractNum>
  <w:abstractNum w:abstractNumId="12">
    <w:nsid w:val="B03E0C6"/>
    <w:multiLevelType w:val="hybridMultilevel"/>
    <w:lvl w:ilvl="0">
      <w:lvlJc w:val="left"/>
      <w:lvlText w:val="(%1)"/>
      <w:numFmt w:val="lowerLetter"/>
      <w:start w:val="32"/>
    </w:lvl>
  </w:abstractNum>
  <w:abstractNum w:abstractNumId="13">
    <w:nsid w:val="189A769B"/>
    <w:multiLevelType w:val="hybridMultilevel"/>
    <w:lvl w:ilvl="0">
      <w:lvlJc w:val="left"/>
      <w:lvlText w:val="(%1)"/>
      <w:numFmt w:val="lowerLetter"/>
      <w:start w:val="36"/>
    </w:lvl>
  </w:abstractNum>
  <w:abstractNum w:abstractNumId="14">
    <w:nsid w:val="54E49EB4"/>
    <w:multiLevelType w:val="hybridMultilevel"/>
    <w:lvl w:ilvl="0">
      <w:lvlJc w:val="left"/>
      <w:lvlText w:val="%1"/>
      <w:numFmt w:val="decimal"/>
      <w:start w:val="1"/>
    </w:lvl>
    <w:lvl w:ilvl="1">
      <w:lvlJc w:val="left"/>
      <w:lvlText w:val="(%2)"/>
      <w:numFmt w:val="lowerLetter"/>
      <w:start w:val="42"/>
    </w:lvl>
  </w:abstractNum>
  <w:abstractNum w:abstractNumId="15">
    <w:nsid w:val="71F32454"/>
    <w:multiLevelType w:val="hybridMultilevel"/>
    <w:lvl w:ilvl="0">
      <w:lvlJc w:val="left"/>
      <w:lvlText w:val="%1."/>
      <w:numFmt w:val="decimal"/>
      <w:start w:val="2"/>
    </w:lvl>
    <w:lvl w:ilvl="1">
      <w:lvlJc w:val="left"/>
      <w:lvlText w:val="(%2)"/>
      <w:numFmt w:val="lowerLetter"/>
      <w:start w:val="1"/>
    </w:lvl>
  </w:abstractNum>
  <w:abstractNum w:abstractNumId="16">
    <w:nsid w:val="2CA88611"/>
    <w:multiLevelType w:val="hybridMultilevel"/>
    <w:lvl w:ilvl="0">
      <w:lvlJc w:val="left"/>
      <w:lvlText w:val="%1"/>
      <w:numFmt w:val="decimal"/>
      <w:start w:val="1"/>
    </w:lvl>
    <w:lvl w:ilvl="1">
      <w:lvlJc w:val="left"/>
      <w:lvlText w:val="(%2)"/>
      <w:numFmt w:val="lowerLetter"/>
      <w:start w:val="2"/>
    </w:lvl>
  </w:abstractNum>
  <w:abstractNum w:abstractNumId="17">
    <w:nsid w:val="836C40E"/>
    <w:multiLevelType w:val="hybridMultilevel"/>
    <w:lvl w:ilvl="0">
      <w:lvlJc w:val="left"/>
      <w:lvlText w:val="%1."/>
      <w:numFmt w:val="decimal"/>
      <w:start w:val="5"/>
    </w:lvl>
    <w:lvl w:ilvl="1">
      <w:lvlJc w:val="left"/>
      <w:lvlText w:val="(%2)"/>
      <w:numFmt w:val="lowerLetter"/>
      <w:start w:val="1"/>
    </w:lvl>
  </w:abstractNum>
  <w:abstractNum w:abstractNumId="18">
    <w:nsid w:val="2901D82"/>
    <w:multiLevelType w:val="hybridMultilevel"/>
    <w:lvl w:ilvl="0">
      <w:lvlJc w:val="left"/>
      <w:lvlText w:val="(%1)"/>
      <w:numFmt w:val="lowerLetter"/>
      <w:start w:val="4"/>
    </w:lvl>
  </w:abstractNum>
  <w:abstractNum w:abstractNumId="19">
    <w:nsid w:val="3A95F874"/>
    <w:multiLevelType w:val="hybridMultilevel"/>
    <w:lvl w:ilvl="0">
      <w:lvlJc w:val="left"/>
      <w:lvlText w:val="(%1)"/>
      <w:numFmt w:val="lowerLetter"/>
      <w:start w:val="8"/>
    </w:lvl>
  </w:abstractNum>
  <w:abstractNum w:abstractNumId="20">
    <w:nsid w:val="8138641"/>
    <w:multiLevelType w:val="hybridMultilevel"/>
    <w:lvl w:ilvl="0">
      <w:lvlJc w:val="left"/>
      <w:lvlText w:val="%1"/>
      <w:numFmt w:val="decimal"/>
      <w:start w:val="1"/>
    </w:lvl>
    <w:lvl w:ilvl="1">
      <w:lvlJc w:val="left"/>
      <w:lvlText w:val="(%2)"/>
      <w:numFmt w:val="lowerLetter"/>
      <w:start w:val="13"/>
    </w:lvl>
  </w:abstractNum>
  <w:abstractNum w:abstractNumId="21">
    <w:nsid w:val="1E7FF521"/>
    <w:multiLevelType w:val="hybridMultilevel"/>
    <w:lvl w:ilvl="0">
      <w:lvlJc w:val="left"/>
      <w:lvlText w:val="%1."/>
      <w:numFmt w:val="decimal"/>
      <w:start w:val="6"/>
    </w:lvl>
    <w:lvl w:ilvl="1">
      <w:lvlJc w:val="left"/>
      <w:lvlText w:val="(%2)"/>
      <w:numFmt w:val="lowerLetter"/>
      <w:start w:val="1"/>
    </w:lvl>
  </w:abstractNum>
  <w:abstractNum w:abstractNumId="22">
    <w:nsid w:val="7C3DBD3D"/>
    <w:multiLevelType w:val="hybridMultilevel"/>
    <w:lvl w:ilvl="0">
      <w:lvlJc w:val="left"/>
      <w:lvlText w:val="(%1)"/>
      <w:numFmt w:val="lowerRoman"/>
      <w:start w:val="1"/>
    </w:lvl>
  </w:abstractNum>
  <w:abstractNum w:abstractNumId="23">
    <w:nsid w:val="737B8DDC"/>
    <w:multiLevelType w:val="hybridMultilevel"/>
    <w:lvl w:ilvl="0">
      <w:lvlJc w:val="left"/>
      <w:lvlText w:val="%1"/>
      <w:numFmt w:val="decimal"/>
      <w:start w:val="1"/>
    </w:lvl>
    <w:lvl w:ilvl="1">
      <w:lvlJc w:val="left"/>
      <w:lvlText w:val="(%2)"/>
      <w:numFmt w:val="lowerLetter"/>
      <w:start w:val="2"/>
    </w:lvl>
  </w:abstractNum>
  <w:abstractNum w:abstractNumId="24">
    <w:nsid w:val="6CEAF087"/>
    <w:multiLevelType w:val="hybridMultilevel"/>
    <w:lvl w:ilvl="0">
      <w:lvlJc w:val="left"/>
      <w:lvlText w:val="%1."/>
      <w:numFmt w:val="decimal"/>
      <w:start w:val="7"/>
    </w:lvl>
    <w:lvl w:ilvl="1">
      <w:lvlJc w:val="left"/>
      <w:lvlText w:val="(%2)"/>
      <w:numFmt w:val="lowerLetter"/>
      <w:start w:val="1"/>
    </w:lvl>
  </w:abstractNum>
  <w:abstractNum w:abstractNumId="25">
    <w:nsid w:val="22221A70"/>
    <w:multiLevelType w:val="hybridMultilevel"/>
    <w:lvl w:ilvl="0">
      <w:lvlJc w:val="left"/>
      <w:lvlText w:val="%1"/>
      <w:numFmt w:val="lowerLetter"/>
      <w:start w:val="1"/>
    </w:lvl>
    <w:lvl w:ilvl="1">
      <w:lvlJc w:val="left"/>
      <w:lvlText w:val="(%2)"/>
      <w:numFmt w:val="lowerLetter"/>
      <w:start w:val="5"/>
    </w:lvl>
  </w:abstractNum>
  <w:abstractNum w:abstractNumId="26">
    <w:nsid w:val="4516DDE9"/>
    <w:multiLevelType w:val="hybridMultilevel"/>
    <w:lvl w:ilvl="0">
      <w:lvlJc w:val="left"/>
      <w:lvlText w:val="(%1)"/>
      <w:numFmt w:val="lowerLetter"/>
      <w:start w:val="35"/>
    </w:lvl>
    <w:lvl w:ilvl="1">
      <w:lvlJc w:val="left"/>
      <w:lvlText w:val="(%2)"/>
      <w:numFmt w:val="lowerLetter"/>
      <w:start w:val="7"/>
    </w:lvl>
  </w:abstractNum>
  <w:abstractNum w:abstractNumId="27">
    <w:nsid w:val="3006C83E"/>
    <w:multiLevelType w:val="hybridMultilevel"/>
    <w:lvl w:ilvl="0">
      <w:lvlJc w:val="left"/>
      <w:lvlText w:val="(%1)"/>
      <w:numFmt w:val="lowerLetter"/>
      <w:start w:val="35"/>
    </w:lvl>
    <w:lvl w:ilvl="1">
      <w:lvlJc w:val="left"/>
      <w:lvlText w:val="(%2)"/>
      <w:numFmt w:val="lowerLetter"/>
      <w:start w:val="8"/>
    </w:lvl>
  </w:abstractNum>
  <w:abstractNum w:abstractNumId="28">
    <w:nsid w:val="614FD4A1"/>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9">
    <w:nsid w:val="419AC24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0">
    <w:nsid w:val="5577F8E1"/>
    <w:multiLevelType w:val="hybridMultilevel"/>
    <w:lvl w:ilvl="0">
      <w:lvlJc w:val="left"/>
      <w:lvlText w:val="(%1)"/>
      <w:numFmt w:val="lowerLetter"/>
      <w:start w:val="2"/>
    </w:lvl>
  </w:abstractNum>
  <w:abstractNum w:abstractNumId="31">
    <w:nsid w:val="440BADFC"/>
    <w:multiLevelType w:val="hybridMultilevel"/>
    <w:lvl w:ilvl="0">
      <w:lvlJc w:val="left"/>
      <w:lvlText w:val="(%1)"/>
      <w:numFmt w:val="lowerLetter"/>
      <w:start w:val="4"/>
    </w:lvl>
  </w:abstractNum>
  <w:abstractNum w:abstractNumId="32">
    <w:nsid w:val="5072367"/>
    <w:multiLevelType w:val="hybridMultilevel"/>
    <w:lvl w:ilvl="0">
      <w:lvlJc w:val="left"/>
      <w:lvlText w:val="%1"/>
      <w:numFmt w:val="decimal"/>
      <w:start w:val="1"/>
    </w:lvl>
    <w:lvl w:ilvl="1">
      <w:lvlJc w:val="left"/>
      <w:lvlText w:val="(%2)"/>
      <w:numFmt w:val="lowerLetter"/>
      <w:start w:val="6"/>
    </w:lvl>
  </w:abstractNum>
  <w:abstractNum w:abstractNumId="33">
    <w:nsid w:val="3804823E"/>
    <w:multiLevelType w:val="hybridMultilevel"/>
    <w:lvl w:ilvl="0">
      <w:lvlJc w:val="left"/>
      <w:lvlText w:val="%1."/>
      <w:numFmt w:val="decimal"/>
      <w:start w:val="10"/>
    </w:lvl>
    <w:lvl w:ilvl="1">
      <w:lvlJc w:val="left"/>
      <w:lvlText w:val="(%2)"/>
      <w:numFmt w:val="lowerLetter"/>
      <w:start w:val="1"/>
    </w:lvl>
  </w:abstractNum>
  <w:abstractNum w:abstractNumId="34">
    <w:nsid w:val="77465F01"/>
    <w:multiLevelType w:val="hybridMultilevel"/>
    <w:lvl w:ilvl="0">
      <w:lvlJc w:val="left"/>
      <w:lvlText w:val="%1."/>
      <w:numFmt w:val="decimal"/>
      <w:start w:val="11"/>
    </w:lvl>
  </w:abstractNum>
  <w:abstractNum w:abstractNumId="35">
    <w:nsid w:val="7724C67E"/>
    <w:multiLevelType w:val="hybridMultilevel"/>
    <w:lvl w:ilvl="0">
      <w:lvlJc w:val="left"/>
      <w:lvlText w:val="%1."/>
      <w:numFmt w:val="decimal"/>
      <w:start w:val="14"/>
    </w:lvl>
  </w:abstractNum>
  <w:abstractNum w:abstractNumId="36">
    <w:nsid w:val="5C482A97"/>
    <w:multiLevelType w:val="hybridMultilevel"/>
    <w:lvl w:ilvl="0">
      <w:lvlJc w:val="left"/>
      <w:lvlText w:val="%1."/>
      <w:numFmt w:val="decimal"/>
      <w:start w:val="15"/>
    </w:lvl>
    <w:lvl w:ilvl="1">
      <w:lvlJc w:val="left"/>
      <w:lvlText w:val="(%2)"/>
      <w:numFmt w:val="lowerLetter"/>
      <w:start w:val="1"/>
    </w:lvl>
  </w:abstractNum>
  <w:abstractNum w:abstractNumId="37">
    <w:nsid w:val="2463B9EA"/>
    <w:multiLevelType w:val="hybridMultilevel"/>
    <w:lvl w:ilvl="0">
      <w:lvlJc w:val="left"/>
      <w:lvlText w:val="%1"/>
      <w:numFmt w:val="upperLetter"/>
      <w:start w:val="29"/>
    </w:lvl>
  </w:abstractNum>
  <w:abstractNum w:abstractNumId="38">
    <w:nsid w:val="5E884AD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2019-12-28T17:07:12Z</dcterms:created>
  <dcterms:modified xsi:type="dcterms:W3CDTF">2019-12-28T17:07:12Z</dcterms:modified>
</cp:coreProperties>
</file>