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971.xml.htm"/>
      <w:bookmarkStart w:id="1" w:name="kswkform4_17876029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Howard Kevin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CHARTER COMMUNICATIONS,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EVP/CAO/Controller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149.395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22,619</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8,785</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options granted on August 20, 2026 under the Charter Communications, Inc. 2019 Stock Incentive Plan in connection with the closing of the previously announced transactions contemplated by the Transaction Agreement by and among Charter Communications, Inc., Charter Communications Holdings, LLC and Cox Enterprises, Inc. (the "Cox Transactions"); 100% of the grant will vest on the fourth anniversary of the grant date, August 20, 2030. Such options will terminate 10 years from the grant date unless terminated sooner in accordance with the plan or grant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 grant - price and expiration date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granted on August 20, 2026 under the Charter Communications, Inc. 2019 Stock Incentive Plan in connection with the closing of the Cox Transactions; 50% of the grant will vest on the second anniversary of the grant date, August 20, 2028, and 50% of the grant will vest on the fourth anniversary of the grant date, August 20,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D. Howard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9115"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4072</Characters>
  <CharactersWithSpaces>4735</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