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1265-1_s3asr.htm"/>
        <w:bookmarkStart w:id="1" w:name="kstm26212651_s3asr"/>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80" w:before="557" w:after="437"/>
        <w:ind w:left="540" w:right="0" w:hanging="0"/>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As filed with the Securities and Exchange Commission on July 27, 2026</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80" w:before="10" w:after="283"/>
        <w:jc w:val="right"/>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No. 333-     </w:t>
      </w:r>
      <w:r>
        <w:rPr>
          <w:rFonts w:ascii="Times New Roman;Times;serif" w:hAnsi="Times New Roman;Times;serif"/>
          <w:b/>
          <w:i w:val="false"/>
          <w:caps w:val="false"/>
          <w:smallCaps w:val="false"/>
          <w:color w:val="000000"/>
          <w:sz w:val="17"/>
        </w:rPr>
        <w:t>​</w:t>
      </w:r>
    </w:p>
    <w:p>
      <w:pPr>
        <w:pStyle w:val="TextBody"/>
        <w:bidi w:val="0"/>
        <w:spacing w:before="61"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2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6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UNITED STATES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SECURITIES AND EXCHANGE COMMISSION </w:t>
      </w:r>
    </w:p>
    <w:p>
      <w:pPr>
        <w:pStyle w:val="TextBody"/>
        <w:bidi w:val="0"/>
        <w:spacing w:lineRule="atLeast" w:line="170" w:before="4"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Washington, D.C. 20549</w:t>
      </w:r>
      <w:r>
        <w:rPr>
          <w:rFonts w:ascii="Times New Roman;Times;serif" w:hAnsi="Times New Roman;Times;serif"/>
          <w:b/>
          <w:i w:val="false"/>
          <w:caps w:val="false"/>
          <w:smallCaps w:val="false"/>
          <w:color w:val="000000"/>
          <w:sz w:val="16"/>
        </w:rPr>
        <w:t xml:space="preserve"> </w:t>
      </w:r>
    </w:p>
    <w:p>
      <w:pPr>
        <w:pStyle w:val="TextBody"/>
        <w:bidi w:val="0"/>
        <w:spacing w:before="13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90" w:before="10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FORM S-3</w:t>
      </w:r>
      <w:r>
        <w:rPr>
          <w:rFonts w:ascii="Times New Roman;Times;serif" w:hAnsi="Times New Roman;Times;serif"/>
          <w:b/>
          <w:i w:val="false"/>
          <w:caps w:val="false"/>
          <w:smallCaps w:val="false"/>
          <w:color w:val="000000"/>
          <w:sz w:val="28"/>
        </w:rPr>
        <w:t xml:space="preserve"> </w:t>
      </w:r>
    </w:p>
    <w:p>
      <w:pPr>
        <w:pStyle w:val="TextBody"/>
        <w:bidi w:val="0"/>
        <w:spacing w:lineRule="atLeast" w:line="170" w:before="10" w:after="283"/>
        <w:jc w:val="center"/>
        <w:rPr>
          <w:rFonts w:ascii="Times New Roman;Times;serif" w:hAnsi="Times New Roman;Times;serif"/>
          <w:b/>
          <w:i/>
          <w:caps w:val="false"/>
          <w:smallCaps w:val="false"/>
          <w:color w:val="000000"/>
          <w:sz w:val="17"/>
        </w:rPr>
      </w:pPr>
      <w:r>
        <w:rPr>
          <w:rFonts w:ascii="Times New Roman;Times;serif" w:hAnsi="Times New Roman;Times;serif"/>
          <w:b/>
          <w:i w:val="false"/>
          <w:caps w:val="false"/>
          <w:smallCaps w:val="false"/>
          <w:color w:val="000000"/>
          <w:spacing w:val="-3"/>
          <w:sz w:val="17"/>
        </w:rPr>
        <w:t>Registration Statement</w:t>
      </w:r>
      <w:r>
        <w:rPr>
          <w:rFonts w:ascii="Times New Roman;Times;serif" w:hAnsi="Times New Roman;Times;serif"/>
          <w:b/>
          <w:i/>
          <w:caps w:val="false"/>
          <w:smallCaps w:val="false"/>
          <w:color w:val="000000"/>
          <w:sz w:val="17"/>
        </w:rPr>
        <w:t xml:space="preserve"> </w:t>
        <w:br/>
      </w:r>
      <w:r>
        <w:rPr>
          <w:rFonts w:ascii="Times New Roman;Times;serif" w:hAnsi="Times New Roman;Times;serif"/>
          <w:b/>
          <w:i/>
          <w:caps w:val="false"/>
          <w:smallCaps w:val="false"/>
          <w:color w:val="000000"/>
          <w:spacing w:val="-3"/>
          <w:sz w:val="17"/>
        </w:rPr>
        <w:t>UNDER</w:t>
      </w:r>
      <w:r>
        <w:rPr>
          <w:rFonts w:ascii="Times New Roman;Times;serif" w:hAnsi="Times New Roman;Times;serif"/>
          <w:b/>
          <w:i/>
          <w:caps w:val="false"/>
          <w:smallCaps w:val="false"/>
          <w:color w:val="000000"/>
          <w:sz w:val="17"/>
        </w:rPr>
        <w:t xml:space="preserve"> </w:t>
        <w:br/>
      </w:r>
      <w:r>
        <w:rPr>
          <w:rFonts w:ascii="Times New Roman;Times;serif" w:hAnsi="Times New Roman;Times;serif"/>
          <w:b/>
          <w:i/>
          <w:caps w:val="false"/>
          <w:smallCaps w:val="false"/>
          <w:color w:val="000000"/>
          <w:spacing w:val="-3"/>
          <w:sz w:val="17"/>
        </w:rPr>
        <w:t>THE SECURITIES ACT OF 1933</w:t>
      </w:r>
      <w:r>
        <w:rPr>
          <w:rFonts w:ascii="Times New Roman;Times;serif" w:hAnsi="Times New Roman;Times;serif"/>
          <w:b/>
          <w:i/>
          <w:caps w:val="false"/>
          <w:smallCaps w:val="false"/>
          <w:color w:val="000000"/>
          <w:sz w:val="17"/>
        </w:rPr>
        <w:t xml:space="preserve"> </w:t>
      </w:r>
    </w:p>
    <w:p>
      <w:pPr>
        <w:pStyle w:val="TextBody"/>
        <w:bidi w:val="0"/>
        <w:spacing w:before="9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10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Charter Communications, Inc.</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Charter Communications Operating, LLC</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Charter Communications Operating Capital Corp.</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CCO Holdings, LLC</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CCO Holdings Capital Corp.*</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i w:val="false"/>
          <w:caps w:val="false"/>
          <w:smallCaps w:val="false"/>
          <w:color w:val="000000"/>
          <w:spacing w:val="6"/>
          <w:sz w:val="28"/>
        </w:rPr>
        <w:t xml:space="preserve"> </w:t>
      </w:r>
    </w:p>
    <w:p>
      <w:pPr>
        <w:pStyle w:val="TextBody"/>
        <w:bidi w:val="0"/>
        <w:spacing w:before="14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7071" w:type="dxa"/>
        <w:jc w:val="left"/>
        <w:tblInd w:w="540" w:type="dxa"/>
        <w:tblLayout w:type="fixed"/>
        <w:tblCellMar>
          <w:top w:w="0" w:type="dxa"/>
          <w:left w:w="0" w:type="dxa"/>
          <w:bottom w:w="0" w:type="dxa"/>
          <w:right w:w="0" w:type="dxa"/>
        </w:tblCellMar>
      </w:tblPr>
      <w:tblGrid>
        <w:gridCol w:w="124"/>
        <w:gridCol w:w="2338"/>
        <w:gridCol w:w="109"/>
        <w:gridCol w:w="109"/>
        <w:gridCol w:w="2209"/>
        <w:gridCol w:w="109"/>
        <w:gridCol w:w="109"/>
        <w:gridCol w:w="1810"/>
        <w:gridCol w:w="154"/>
      </w:tblGrid>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lineRule="atLeast" w:line="204" w:before="0" w:after="0"/>
              <w:jc w:val="center"/>
              <w:rPr/>
            </w:pPr>
            <w:r>
              <w:rPr>
                <w:spacing w:val="-3"/>
              </w:rPr>
              <w:t>Delaware</w:t>
            </w:r>
            <w:r>
              <w:rPr/>
              <w:t xml:space="preserve"> </w:t>
              <w:br/>
            </w:r>
            <w:r>
              <w:rPr>
                <w:spacing w:val="-3"/>
              </w:rPr>
              <w:t>Delaware</w:t>
            </w:r>
            <w:r>
              <w:rPr/>
              <w:t xml:space="preserve"> </w:t>
              <w:br/>
            </w:r>
            <w:r>
              <w:rPr>
                <w:spacing w:val="-3"/>
              </w:rPr>
              <w:t>Delaware</w:t>
            </w:r>
            <w:r>
              <w:rPr/>
              <w:t xml:space="preserve"> </w:t>
              <w:br/>
            </w:r>
            <w:r>
              <w:rPr>
                <w:spacing w:val="-3"/>
              </w:rPr>
              <w:t>Delaware</w:t>
            </w:r>
            <w:r>
              <w:rPr/>
              <w:t xml:space="preserve"> </w:t>
              <w:br/>
            </w:r>
            <w:r>
              <w:rPr>
                <w:spacing w:val="-3"/>
              </w:rPr>
              <w:t>Delaware</w:t>
            </w:r>
            <w:r>
              <w:rPr/>
              <w:t xml:space="preserve"> </w:t>
            </w:r>
          </w:p>
          <w:p>
            <w:pPr>
              <w:pStyle w:val="TableContents"/>
              <w:bidi w:val="0"/>
              <w:spacing w:lineRule="atLeast" w:line="180" w:before="34" w:after="283"/>
              <w:jc w:val="center"/>
              <w:rPr>
                <w:b w:val="false"/>
                <w:sz w:val="16"/>
              </w:rPr>
            </w:pPr>
            <w:r>
              <w:rPr>
                <w:b w:val="false"/>
                <w:spacing w:val="3"/>
                <w:sz w:val="16"/>
              </w:rPr>
              <w:t xml:space="preserve">(State or other jurisdiction of </w:t>
            </w:r>
            <w:r>
              <w:rPr>
                <w:b w:val="false"/>
                <w:sz w:val="16"/>
              </w:rPr>
              <w:br/>
            </w:r>
            <w:r>
              <w:rPr>
                <w:b w:val="false"/>
                <w:spacing w:val="3"/>
                <w:sz w:val="16"/>
              </w:rPr>
              <w:t>incorporation or organization)</w:t>
            </w:r>
            <w:r>
              <w:rPr>
                <w:b w:val="false"/>
                <w:sz w:val="1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9" w:type="dxa"/>
            <w:tcBorders/>
            <w:vAlign w:val="center"/>
          </w:tcPr>
          <w:p>
            <w:pPr>
              <w:pStyle w:val="TableContents"/>
              <w:bidi w:val="0"/>
              <w:spacing w:lineRule="atLeast" w:line="204" w:before="0" w:after="0"/>
              <w:jc w:val="center"/>
              <w:rPr/>
            </w:pPr>
            <w:r>
              <w:rPr>
                <w:spacing w:val="-3"/>
              </w:rPr>
              <w:t>4841</w:t>
            </w:r>
            <w:r>
              <w:rPr/>
              <w:t xml:space="preserve"> </w:t>
              <w:br/>
            </w:r>
            <w:r>
              <w:rPr>
                <w:spacing w:val="-3"/>
              </w:rPr>
              <w:t>4841</w:t>
            </w:r>
            <w:r>
              <w:rPr/>
              <w:t xml:space="preserve"> </w:t>
              <w:br/>
            </w:r>
            <w:r>
              <w:rPr>
                <w:spacing w:val="-3"/>
              </w:rPr>
              <w:t>4841</w:t>
            </w:r>
            <w:r>
              <w:rPr/>
              <w:t xml:space="preserve"> </w:t>
              <w:br/>
            </w:r>
            <w:r>
              <w:rPr>
                <w:spacing w:val="-3"/>
              </w:rPr>
              <w:t>4841</w:t>
            </w:r>
            <w:r>
              <w:rPr/>
              <w:t xml:space="preserve"> </w:t>
              <w:br/>
            </w:r>
            <w:r>
              <w:rPr>
                <w:spacing w:val="-3"/>
              </w:rPr>
              <w:t>4841</w:t>
            </w:r>
            <w:r>
              <w:rPr/>
              <w:t xml:space="preserve"> </w:t>
            </w:r>
          </w:p>
          <w:p>
            <w:pPr>
              <w:pStyle w:val="TableContents"/>
              <w:bidi w:val="0"/>
              <w:spacing w:lineRule="atLeast" w:line="180" w:before="34" w:after="283"/>
              <w:jc w:val="center"/>
              <w:rPr>
                <w:b w:val="false"/>
                <w:sz w:val="16"/>
              </w:rPr>
            </w:pPr>
            <w:r>
              <w:rPr>
                <w:b w:val="false"/>
                <w:spacing w:val="3"/>
                <w:sz w:val="16"/>
              </w:rPr>
              <w:t>(Primary Standard Industrial</w:t>
            </w:r>
            <w:r>
              <w:rPr>
                <w:b w:val="false"/>
                <w:sz w:val="16"/>
              </w:rPr>
              <w:t xml:space="preserve"> </w:t>
              <w:br/>
            </w:r>
            <w:r>
              <w:rPr>
                <w:b w:val="false"/>
                <w:spacing w:val="3"/>
                <w:sz w:val="16"/>
              </w:rPr>
              <w:t>Classification Code Number)</w:t>
            </w:r>
            <w:r>
              <w:rPr>
                <w:b w:val="false"/>
                <w:sz w:val="1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10" w:type="dxa"/>
            <w:tcBorders/>
            <w:vAlign w:val="center"/>
          </w:tcPr>
          <w:p>
            <w:pPr>
              <w:pStyle w:val="TableContents"/>
              <w:bidi w:val="0"/>
              <w:spacing w:lineRule="atLeast" w:line="204" w:before="0" w:after="0"/>
              <w:jc w:val="center"/>
              <w:rPr/>
            </w:pPr>
            <w:r>
              <w:rPr>
                <w:spacing w:val="-3"/>
              </w:rPr>
              <w:t>84-1496755</w:t>
            </w:r>
            <w:r>
              <w:rPr/>
              <w:t xml:space="preserve"> </w:t>
              <w:br/>
            </w:r>
            <w:r>
              <w:rPr>
                <w:spacing w:val="-3"/>
              </w:rPr>
              <w:t>43-1843260</w:t>
            </w:r>
            <w:r>
              <w:rPr/>
              <w:t xml:space="preserve"> </w:t>
              <w:br/>
            </w:r>
            <w:r>
              <w:rPr>
                <w:spacing w:val="-3"/>
              </w:rPr>
              <w:t>20-1044453</w:t>
            </w:r>
            <w:r>
              <w:rPr/>
              <w:t xml:space="preserve"> </w:t>
              <w:br/>
            </w:r>
            <w:r>
              <w:rPr>
                <w:spacing w:val="-3"/>
              </w:rPr>
              <w:t>86-1067239</w:t>
            </w:r>
            <w:r>
              <w:rPr/>
              <w:t xml:space="preserve"> </w:t>
              <w:br/>
            </w:r>
            <w:r>
              <w:rPr>
                <w:spacing w:val="-3"/>
              </w:rPr>
              <w:t>20-0257904</w:t>
            </w:r>
            <w:r>
              <w:rPr/>
              <w:t xml:space="preserve"> </w:t>
            </w:r>
          </w:p>
          <w:p>
            <w:pPr>
              <w:pStyle w:val="TableContents"/>
              <w:bidi w:val="0"/>
              <w:spacing w:lineRule="atLeast" w:line="180" w:before="34" w:after="283"/>
              <w:jc w:val="center"/>
              <w:rPr>
                <w:b w:val="false"/>
                <w:sz w:val="16"/>
              </w:rPr>
            </w:pPr>
            <w:r>
              <w:rPr>
                <w:b w:val="false"/>
                <w:spacing w:val="3"/>
                <w:sz w:val="16"/>
              </w:rPr>
              <w:t>(I.R.S. Employer</w:t>
            </w:r>
            <w:r>
              <w:rPr>
                <w:b w:val="false"/>
                <w:sz w:val="16"/>
              </w:rPr>
              <w:t xml:space="preserve"> </w:t>
              <w:br/>
            </w:r>
            <w:r>
              <w:rPr>
                <w:b w:val="false"/>
                <w:spacing w:val="3"/>
                <w:sz w:val="16"/>
              </w:rPr>
              <w:t>Identification Number)</w:t>
            </w:r>
            <w:r>
              <w:rPr>
                <w:b w:val="false"/>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70" w:before="124" w:after="283"/>
        <w:ind w:left="540" w:right="0" w:hanging="0"/>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 xml:space="preserve">400 Washington Blvd.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Stamford, Connecticut 06902</w:t>
      </w:r>
      <w:r>
        <w:rPr>
          <w:rFonts w:ascii="Times New Roman;Times;serif" w:hAnsi="Times New Roman;Times;serif"/>
          <w:b/>
          <w:i w:val="false"/>
          <w:caps w:val="false"/>
          <w:smallCaps w:val="false"/>
          <w:color w:val="000000"/>
          <w:sz w:val="17"/>
        </w:rPr>
        <w:t xml:space="preserve"> </w:t>
      </w:r>
    </w:p>
    <w:p>
      <w:pPr>
        <w:pStyle w:val="TextBody"/>
        <w:bidi w:val="0"/>
        <w:spacing w:lineRule="atLeast" w:line="170" w:before="4"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3"/>
          <w:sz w:val="16"/>
        </w:rPr>
        <w:t xml:space="preserve"> </w:t>
      </w:r>
    </w:p>
    <w:p>
      <w:pPr>
        <w:pStyle w:val="TextBody"/>
        <w:bidi w:val="0"/>
        <w:spacing w:before="10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04" w:after="283"/>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Jamal H. Haughton</w:t>
      </w:r>
      <w:r>
        <w:rPr>
          <w:rFonts w:ascii="Times New Roman;Times;serif" w:hAnsi="Times New Roman;Times;serif"/>
          <w:b/>
          <w:i w:val="false"/>
          <w:caps w:val="false"/>
          <w:smallCaps w:val="false"/>
          <w:color w:val="000000"/>
          <w:sz w:val="17"/>
        </w:rPr>
        <w:t xml:space="preserve"> </w:t>
        <w:br/>
      </w:r>
      <w:r>
        <w:rPr>
          <w:rFonts w:ascii="Times New Roman;Times;serif" w:hAnsi="Times New Roman;Times;serif"/>
          <w:b/>
          <w:i w:val="false"/>
          <w:caps w:val="false"/>
          <w:smallCaps w:val="false"/>
          <w:color w:val="000000"/>
          <w:spacing w:val="-3"/>
          <w:sz w:val="17"/>
        </w:rPr>
        <w:t xml:space="preserve">Executive Vice President, General Counsel and Corporate Secretary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400 Washington Blvd.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Stamford, Connecticut 06902</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70" w:before="1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3"/>
          <w:sz w:val="16"/>
        </w:rPr>
        <w:t xml:space="preserve"> </w:t>
      </w:r>
    </w:p>
    <w:p>
      <w:pPr>
        <w:pStyle w:val="TextBody"/>
        <w:bidi w:val="0"/>
        <w:spacing w:before="9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04" w:after="283"/>
        <w:jc w:val="center"/>
        <w:rPr>
          <w:rFonts w:ascii="Times New Roman;Times;serif" w:hAnsi="Times New Roman;Times;serif"/>
          <w:b w:val="false"/>
          <w:i/>
          <w:caps w:val="false"/>
          <w:smallCaps w:val="false"/>
          <w:color w:val="000000"/>
          <w:spacing w:val="3"/>
          <w:sz w:val="17"/>
        </w:rPr>
      </w:pPr>
      <w:r>
        <w:rPr>
          <w:rFonts w:ascii="Times New Roman;Times;serif" w:hAnsi="Times New Roman;Times;serif"/>
          <w:b w:val="false"/>
          <w:i/>
          <w:caps w:val="false"/>
          <w:smallCaps w:val="false"/>
          <w:color w:val="000000"/>
          <w:spacing w:val="3"/>
          <w:sz w:val="17"/>
        </w:rPr>
        <w:t xml:space="preserve">Copies to: </w:t>
      </w:r>
    </w:p>
    <w:p>
      <w:pPr>
        <w:pStyle w:val="TextBody"/>
        <w:bidi w:val="0"/>
        <w:spacing w:lineRule="atLeast" w:line="170" w:before="70" w:after="283"/>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 xml:space="preserve">Christian O. Nagler, P.C.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Diahndra Burman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Kirkland &amp; Ellis LLP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601 Lexington Avenue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New York, New York 10022-4611</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80" w:before="70" w:after="283"/>
        <w:jc w:val="center"/>
        <w:rPr>
          <w:rFonts w:ascii="Times New Roman;Times;serif" w:hAnsi="Times New Roman;Times;serif"/>
          <w:b w:val="false"/>
          <w:i w:val="false"/>
          <w:caps w:val="false"/>
          <w:smallCaps w:val="false"/>
          <w:color w:val="000000"/>
          <w:sz w:val="17"/>
        </w:rPr>
      </w:pPr>
      <w:r>
        <w:rPr>
          <w:rFonts w:ascii="Times New Roman;Times;serif" w:hAnsi="Times New Roman;Times;serif"/>
          <w:b/>
          <w:i w:val="false"/>
          <w:caps w:val="false"/>
          <w:smallCaps w:val="false"/>
          <w:color w:val="000000"/>
          <w:spacing w:val="-3"/>
          <w:sz w:val="17"/>
        </w:rPr>
        <w:t>Approximate date of commencement of proposed sale to the public:   </w:t>
      </w:r>
      <w:r>
        <w:rPr>
          <w:rFonts w:ascii="Times New Roman;Times;serif" w:hAnsi="Times New Roman;Times;serif"/>
          <w:b w:val="false"/>
          <w:i w:val="false"/>
          <w:caps w:val="false"/>
          <w:smallCaps w:val="false"/>
          <w:color w:val="000000"/>
          <w:spacing w:val="3"/>
          <w:sz w:val="17"/>
        </w:rPr>
        <w:t xml:space="preserve">As soon as practicable after this Registration Statement. </w:t>
      </w:r>
    </w:p>
    <w:p>
      <w:pPr>
        <w:pStyle w:val="TextBody"/>
        <w:bidi w:val="0"/>
        <w:spacing w:before="9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06"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the only securities being registered on this Form are being offered pursuant to dividend or interest reinvestment plans, please check the following box. ☐ </w:t>
      </w:r>
    </w:p>
    <w:p>
      <w:pPr>
        <w:pStyle w:val="TextBody"/>
        <w:bidi w:val="0"/>
        <w:spacing w:lineRule="atLeast" w:line="170" w:before="7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170" w:before="7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170" w:before="7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170" w:before="7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170" w:before="7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170" w:before="7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188" w:type="dxa"/>
        <w:jc w:val="left"/>
        <w:tblInd w:w="540" w:type="dxa"/>
        <w:tblLayout w:type="fixed"/>
        <w:tblCellMar>
          <w:top w:w="0" w:type="dxa"/>
          <w:left w:w="0" w:type="dxa"/>
          <w:bottom w:w="0" w:type="dxa"/>
          <w:right w:w="0" w:type="dxa"/>
        </w:tblCellMar>
      </w:tblPr>
      <w:tblGrid>
        <w:gridCol w:w="124"/>
        <w:gridCol w:w="2156"/>
        <w:gridCol w:w="109"/>
        <w:gridCol w:w="109"/>
        <w:gridCol w:w="2536"/>
        <w:gridCol w:w="154"/>
      </w:tblGrid>
      <w:tr>
        <w:trPr/>
        <w:tc>
          <w:tcPr>
            <w:tcW w:w="124" w:type="dxa"/>
            <w:tcBorders/>
            <w:vAlign w:val="center"/>
          </w:tcPr>
          <w:p>
            <w:pPr>
              <w:pStyle w:val="TableContents"/>
              <w:bidi w:val="0"/>
              <w:spacing w:before="0" w:after="283"/>
              <w:jc w:val="left"/>
              <w:rPr/>
            </w:pPr>
            <w:r>
              <w:rPr/>
              <w:t>​</w:t>
            </w:r>
          </w:p>
        </w:tc>
        <w:tc>
          <w:tcPr>
            <w:tcW w:w="2156" w:type="dxa"/>
            <w:tcBorders/>
            <w:vAlign w:val="center"/>
          </w:tcPr>
          <w:p>
            <w:pPr>
              <w:pStyle w:val="TableContents"/>
              <w:bidi w:val="0"/>
              <w:spacing w:lineRule="atLeast" w:line="170" w:before="0" w:after="0"/>
              <w:ind w:left="1780" w:right="0" w:hanging="0"/>
              <w:jc w:val="left"/>
              <w:rPr>
                <w:spacing w:val="3"/>
              </w:rPr>
            </w:pPr>
            <w:r>
              <w:rPr>
                <w:spacing w:val="3"/>
              </w:rPr>
              <w:t xml:space="preserve">☒ </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1130300" cy="525780"/>
                      <wp:effectExtent l="0" t="0" r="0" b="0"/>
                      <wp:wrapSquare wrapText="right"/>
                      <wp:docPr id="1" name="Frame1"/>
                      <a:graphic xmlns:a="http://schemas.openxmlformats.org/drawingml/2006/main">
                        <a:graphicData uri="http://schemas.microsoft.com/office/word/2010/wordprocessingShape">
                          <wps:wsp>
                            <wps:cNvSpPr txBox="1"/>
                            <wps:spPr>
                              <a:xfrm>
                                <a:off x="0" y="0"/>
                                <a:ext cx="1130300" cy="525780"/>
                              </a:xfrm>
                              <a:prstGeom prst="rect"/>
                              <a:solidFill>
                                <a:srgbClr val="FFFFFF"/>
                              </a:solidFill>
                            </wps:spPr>
                            <wps:txbx>
                              <w:txbxContent>
                                <w:p>
                                  <w:pPr>
                                    <w:pStyle w:val="TextBody"/>
                                    <w:bidi w:val="0"/>
                                    <w:spacing w:lineRule="atLeast" w:line="170" w:before="0" w:after="283"/>
                                    <w:jc w:val="left"/>
                                    <w:rPr/>
                                  </w:pPr>
                                  <w:r>
                                    <w:rPr>
                                      <w:spacing w:val="3"/>
                                    </w:rPr>
                                    <w:t>Large accelerated filer</w:t>
                                  </w:r>
                                  <w:r>
                                    <w:rPr/>
                                    <w:t xml:space="preserve"> </w:t>
                                    <w:br/>
                                  </w:r>
                                </w:p>
                              </w:txbxContent>
                            </wps:txbx>
                            <wps:bodyPr anchor="t" lIns="0" tIns="0" rIns="0" bIns="0">
                              <a:noAutofit/>
                            </wps:bodyPr>
                          </wps:wsp>
                        </a:graphicData>
                      </a:graphic>
                    </wp:anchor>
                  </w:drawing>
                </mc:Choice>
                <mc:Fallback>
                  <w:pict>
                    <v:rect style="position:absolute;rotation:-0;width:8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3"/>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lineRule="atLeast" w:line="170" w:before="0" w:after="0"/>
              <w:ind w:left="2160" w:right="0" w:hanging="0"/>
              <w:jc w:val="left"/>
              <w:rPr>
                <w:spacing w:val="3"/>
              </w:rPr>
            </w:pPr>
            <w:r>
              <w:rPr>
                <w:spacing w:val="3"/>
              </w:rPr>
              <w:t xml:space="preserve">☐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13716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371600" cy="350520"/>
                              </a:xfrm>
                              <a:prstGeom prst="rect"/>
                              <a:solidFill>
                                <a:srgbClr val="FFFFFF"/>
                              </a:solidFill>
                            </wps:spPr>
                            <wps:txbx>
                              <w:txbxContent>
                                <w:p>
                                  <w:pPr>
                                    <w:pStyle w:val="TextBody"/>
                                    <w:bidi w:val="0"/>
                                    <w:spacing w:lineRule="atLeast" w:line="170" w:before="0" w:after="283"/>
                                    <w:jc w:val="left"/>
                                    <w:rPr/>
                                  </w:pPr>
                                  <w:r>
                                    <w:rPr>
                                      <w:spacing w:val="3"/>
                                    </w:rPr>
                                    <w:t>Accelerated filer</w:t>
                                  </w:r>
                                  <w:r>
                                    <w:rPr/>
                                    <w:t xml:space="preserve"> </w:t>
                                    <w:br/>
                                  </w:r>
                                </w:p>
                              </w:txbxContent>
                            </wps:txbx>
                            <wps:bodyPr anchor="t" lIns="0" tIns="0" rIns="0" bIns="0">
                              <a:noAutofit/>
                            </wps:bodyPr>
                          </wps:wsp>
                        </a:graphicData>
                      </a:graphic>
                    </wp:anchor>
                  </w:drawing>
                </mc:Choice>
                <mc:Fallback>
                  <w:pict>
                    <v:rect style="position:absolute;rotation:-0;width:10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3"/>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56" w:type="dxa"/>
            <w:tcBorders/>
            <w:vAlign w:val="center"/>
          </w:tcPr>
          <w:p>
            <w:pPr>
              <w:pStyle w:val="TableContents"/>
              <w:bidi w:val="0"/>
              <w:spacing w:lineRule="atLeast" w:line="170" w:before="0" w:after="0"/>
              <w:ind w:left="1780" w:right="0" w:hanging="0"/>
              <w:jc w:val="left"/>
              <w:rPr>
                <w:spacing w:val="3"/>
              </w:rPr>
            </w:pPr>
            <w:r>
              <w:rPr>
                <w:spacing w:val="3"/>
              </w:rPr>
              <w:t xml:space="preserve">☐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1130300" cy="525780"/>
                      <wp:effectExtent l="0" t="0" r="0" b="0"/>
                      <wp:wrapSquare wrapText="right"/>
                      <wp:docPr id="3" name="Frame3"/>
                      <a:graphic xmlns:a="http://schemas.openxmlformats.org/drawingml/2006/main">
                        <a:graphicData uri="http://schemas.microsoft.com/office/word/2010/wordprocessingShape">
                          <wps:wsp>
                            <wps:cNvSpPr txBox="1"/>
                            <wps:spPr>
                              <a:xfrm>
                                <a:off x="0" y="0"/>
                                <a:ext cx="1130300" cy="525780"/>
                              </a:xfrm>
                              <a:prstGeom prst="rect"/>
                              <a:solidFill>
                                <a:srgbClr val="FFFFFF"/>
                              </a:solidFill>
                            </wps:spPr>
                            <wps:txbx>
                              <w:txbxContent>
                                <w:p>
                                  <w:pPr>
                                    <w:pStyle w:val="TextBody"/>
                                    <w:bidi w:val="0"/>
                                    <w:spacing w:lineRule="atLeast" w:line="170" w:before="0" w:after="283"/>
                                    <w:jc w:val="left"/>
                                    <w:rPr/>
                                  </w:pPr>
                                  <w:r>
                                    <w:rPr>
                                      <w:spacing w:val="3"/>
                                    </w:rPr>
                                    <w:t>Non-accelerated filer</w:t>
                                  </w:r>
                                  <w:r>
                                    <w:rPr/>
                                    <w:t xml:space="preserve"> </w:t>
                                    <w:br/>
                                  </w:r>
                                </w:p>
                              </w:txbxContent>
                            </wps:txbx>
                            <wps:bodyPr anchor="t" lIns="0" tIns="0" rIns="0" bIns="0">
                              <a:noAutofit/>
                            </wps:bodyPr>
                          </wps:wsp>
                        </a:graphicData>
                      </a:graphic>
                    </wp:anchor>
                  </w:drawing>
                </mc:Choice>
                <mc:Fallback>
                  <w:pict>
                    <v:rect style="position:absolute;rotation:-0;width:8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3"/>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lineRule="atLeast" w:line="170" w:before="0" w:after="0"/>
              <w:ind w:left="2160" w:right="0" w:hanging="0"/>
              <w:jc w:val="left"/>
              <w:rPr>
                <w:spacing w:val="3"/>
              </w:rPr>
            </w:pPr>
            <w:r>
              <w:rPr>
                <w:spacing w:val="3"/>
              </w:rPr>
              <w:t xml:space="preserve">☐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1371600" cy="525780"/>
                      <wp:effectExtent l="0" t="0" r="0" b="0"/>
                      <wp:wrapSquare wrapText="right"/>
                      <wp:docPr id="4" name="Frame4"/>
                      <a:graphic xmlns:a="http://schemas.openxmlformats.org/drawingml/2006/main">
                        <a:graphicData uri="http://schemas.microsoft.com/office/word/2010/wordprocessingShape">
                          <wps:wsp>
                            <wps:cNvSpPr txBox="1"/>
                            <wps:spPr>
                              <a:xfrm>
                                <a:off x="0" y="0"/>
                                <a:ext cx="1371600" cy="525780"/>
                              </a:xfrm>
                              <a:prstGeom prst="rect"/>
                              <a:solidFill>
                                <a:srgbClr val="FFFFFF"/>
                              </a:solidFill>
                            </wps:spPr>
                            <wps:txbx>
                              <w:txbxContent>
                                <w:p>
                                  <w:pPr>
                                    <w:pStyle w:val="TextBody"/>
                                    <w:bidi w:val="0"/>
                                    <w:spacing w:lineRule="atLeast" w:line="170" w:before="0" w:after="283"/>
                                    <w:jc w:val="left"/>
                                    <w:rPr/>
                                  </w:pPr>
                                  <w:r>
                                    <w:rPr>
                                      <w:spacing w:val="3"/>
                                    </w:rPr>
                                    <w:t>Smaller reporting company</w:t>
                                  </w:r>
                                  <w:r>
                                    <w:rPr/>
                                    <w:t xml:space="preserve"> </w:t>
                                    <w:br/>
                                  </w:r>
                                </w:p>
                              </w:txbxContent>
                            </wps:txbx>
                            <wps:bodyPr anchor="t" lIns="0" tIns="0" rIns="0" bIns="0">
                              <a:noAutofit/>
                            </wps:bodyPr>
                          </wps:wsp>
                        </a:graphicData>
                      </a:graphic>
                    </wp:anchor>
                  </w:drawing>
                </mc:Choice>
                <mc:Fallback>
                  <w:pict>
                    <v:rect style="position:absolute;rotation:-0;width:10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3"/>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5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lineRule="atLeast" w:line="170" w:before="0" w:after="0"/>
              <w:ind w:left="2160" w:right="0" w:hanging="0"/>
              <w:jc w:val="left"/>
              <w:rPr/>
            </w:pPr>
            <w:r>
              <w:rPr>
                <w:spacing w:val="3"/>
              </w:rPr>
              <w:t>☐</w:t>
            </w:r>
            <w:r>
              <w:rPr/>
              <w:t xml:space="preserve">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1371600" cy="525780"/>
                      <wp:effectExtent l="0" t="0" r="0" b="0"/>
                      <wp:wrapSquare wrapText="right"/>
                      <wp:docPr id="5" name="Frame5"/>
                      <a:graphic xmlns:a="http://schemas.openxmlformats.org/drawingml/2006/main">
                        <a:graphicData uri="http://schemas.microsoft.com/office/word/2010/wordprocessingShape">
                          <wps:wsp>
                            <wps:cNvSpPr txBox="1"/>
                            <wps:spPr>
                              <a:xfrm>
                                <a:off x="0" y="0"/>
                                <a:ext cx="1371600" cy="525780"/>
                              </a:xfrm>
                              <a:prstGeom prst="rect"/>
                              <a:solidFill>
                                <a:srgbClr val="FFFFFF"/>
                              </a:solidFill>
                            </wps:spPr>
                            <wps:txbx>
                              <w:txbxContent>
                                <w:p>
                                  <w:pPr>
                                    <w:pStyle w:val="TextBody"/>
                                    <w:bidi w:val="0"/>
                                    <w:spacing w:lineRule="atLeast" w:line="170" w:before="0" w:after="283"/>
                                    <w:jc w:val="left"/>
                                    <w:rPr/>
                                  </w:pPr>
                                  <w:r>
                                    <w:rPr>
                                      <w:spacing w:val="3"/>
                                    </w:rPr>
                                    <w:t>Emerging growth company</w:t>
                                  </w:r>
                                  <w:r>
                                    <w:rPr/>
                                    <w:t xml:space="preserve"> </w:t>
                                    <w:br/>
                                  </w:r>
                                </w:p>
                              </w:txbxContent>
                            </wps:txbx>
                            <wps:bodyPr anchor="t" lIns="0" tIns="0" rIns="0" bIns="0">
                              <a:noAutofit/>
                            </wps:bodyPr>
                          </wps:wsp>
                        </a:graphicData>
                      </a:graphic>
                    </wp:anchor>
                  </w:drawing>
                </mc:Choice>
                <mc:Fallback>
                  <w:pict>
                    <v:rect style="position:absolute;rotation:-0;width:108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3"/>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70" w:before="126"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153"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06" w:after="0"/>
        <w:ind w:left="940" w:right="0" w:hanging="0"/>
        <w:jc w:val="left"/>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pacing w:val="3"/>
          <w:sz w:val="17"/>
        </w:rPr>
        <w:t>The companies listed below in the Table of Additional Registrant Guarantors are also included in this registration statement on Form S-3 as additional Registrant Guarantors.</w:t>
      </w:r>
      <w:r>
        <w:rPr>
          <w:rFonts w:ascii="Times New Roman;Times;serif" w:hAnsi="Times New Roman;Times;serif"/>
          <w:b w:val="false"/>
          <w:i w:val="false"/>
          <w:caps w:val="false"/>
          <w:smallCaps w:val="false"/>
          <w:color w:val="000000"/>
          <w:sz w:val="17"/>
        </w:rPr>
        <w:t xml:space="preserve"> </w:t>
      </w:r>
      <w:r>
        <mc:AlternateContent>
          <mc:Choice Requires="wps">
            <w:drawing>
              <wp:anchor behindDoc="0" distT="6731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3pt;mso-wrap-distance-bottom:0pt;margin-top:5.3pt;mso-position-vertical:top;mso-position-vertical-relative:text;margin-left:0pt;mso-position-horizontal:left;mso-position-horizontal-relative:text">
                <v:textbox>
                  <w:txbxContent>
                    <w:p>
                      <w:pPr>
                        <w:pStyle w:val="TextBody"/>
                        <w:bidi w:val="0"/>
                        <w:spacing w:before="0" w:after="283"/>
                        <w:jc w:val="left"/>
                        <w:rPr/>
                      </w:pPr>
                      <w:r>
                        <w:rPr>
                          <w:spacing w:val="3"/>
                        </w:rPr>
                        <w:t>*</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before="93"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2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TOAR"/>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ADDITIONAL REGISTRANT GUARANTORS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subsidiaries of Charter Communications Operating, LLC may guarantee the Debt Securities issued hereunder and are additional Registrant Guarantors under this registration statement. The address, including zip code, and telephone number, including area code, for each of the additional Registrant Guarantors is c/o Charter Communications Operating, LLC, 400 Washington Blvd., Stamford, Connecticut 06902, (203) 905-7801. The primary standard industrial classification number for each of these additional Registrant Guarantors is 4841. </w:t>
      </w:r>
    </w:p>
    <w:tbl>
      <w:tblPr>
        <w:tblW w:w="8812" w:type="dxa"/>
        <w:jc w:val="left"/>
        <w:tblInd w:w="1393" w:type="dxa"/>
        <w:tblLayout w:type="fixed"/>
        <w:tblCellMar>
          <w:top w:w="0" w:type="dxa"/>
          <w:left w:w="0" w:type="dxa"/>
          <w:bottom w:w="43" w:type="dxa"/>
          <w:right w:w="0" w:type="dxa"/>
        </w:tblCellMar>
      </w:tblPr>
      <w:tblGrid>
        <w:gridCol w:w="5235"/>
        <w:gridCol w:w="109"/>
        <w:gridCol w:w="109"/>
        <w:gridCol w:w="1549"/>
        <w:gridCol w:w="109"/>
        <w:gridCol w:w="109"/>
        <w:gridCol w:w="1437"/>
        <w:gridCol w:w="155"/>
      </w:tblGrid>
      <w:tr>
        <w:trPr/>
        <w:tc>
          <w:tcPr>
            <w:tcW w:w="5235" w:type="dxa"/>
            <w:tcBorders>
              <w:bottom w:val="single" w:sz="2" w:space="0" w:color="000000"/>
            </w:tcBorders>
            <w:vAlign w:val="center"/>
          </w:tcPr>
          <w:p>
            <w:pPr>
              <w:pStyle w:val="TableContents"/>
              <w:bidi w:val="0"/>
              <w:spacing w:before="0" w:after="0"/>
              <w:jc w:val="left"/>
              <w:rPr>
                <w:spacing w:val="-3"/>
              </w:rPr>
            </w:pPr>
            <w:r>
              <w:rPr>
                <w:spacing w:val="-3"/>
              </w:rPr>
              <w:t xml:space="preserve">Exact Name of Additional Registrant Guarantor as Specified in its Charter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9" w:type="dxa"/>
            <w:tcBorders>
              <w:bottom w:val="single" w:sz="2" w:space="0" w:color="000000"/>
            </w:tcBorders>
            <w:vAlign w:val="center"/>
          </w:tcPr>
          <w:p>
            <w:pPr>
              <w:pStyle w:val="TableContents"/>
              <w:bidi w:val="0"/>
              <w:spacing w:before="0" w:after="0"/>
              <w:jc w:val="center"/>
              <w:rPr/>
            </w:pPr>
            <w:r>
              <w:rPr>
                <w:spacing w:val="-3"/>
              </w:rPr>
              <w:t>Jurisdiction of</w:t>
            </w:r>
            <w:r>
              <w:rPr/>
              <w:t xml:space="preserve"> </w:t>
              <w:br/>
            </w:r>
            <w:r>
              <w:rPr>
                <w:spacing w:val="-3"/>
              </w:rPr>
              <w:t>Incorporation or</w:t>
            </w:r>
            <w:r>
              <w:rPr/>
              <w:t xml:space="preserve"> </w:t>
              <w:br/>
            </w:r>
            <w:r>
              <w:rPr>
                <w:spacing w:val="-3"/>
              </w:rPr>
              <w:t xml:space="preserve">Organization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7" w:type="dxa"/>
            <w:tcBorders>
              <w:bottom w:val="single" w:sz="2" w:space="0" w:color="000000"/>
            </w:tcBorders>
            <w:vAlign w:val="center"/>
          </w:tcPr>
          <w:p>
            <w:pPr>
              <w:pStyle w:val="TableContents"/>
              <w:bidi w:val="0"/>
              <w:spacing w:before="0" w:after="0"/>
              <w:jc w:val="center"/>
              <w:rPr/>
            </w:pPr>
            <w:r>
              <w:rPr>
                <w:spacing w:val="-3"/>
              </w:rPr>
              <w:t>IRS Employer</w:t>
            </w:r>
            <w:r>
              <w:rPr/>
              <w:t xml:space="preserve"> </w:t>
              <w:br/>
            </w:r>
            <w:r>
              <w:rPr>
                <w:spacing w:val="-3"/>
              </w:rPr>
              <w:t>Identification</w:t>
            </w:r>
            <w:r>
              <w:rPr/>
              <w:t xml:space="preserve"> </w:t>
              <w:br/>
            </w:r>
            <w:r>
              <w:rPr>
                <w:spacing w:val="-3"/>
              </w:rPr>
              <w:t xml:space="preserve">Number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BHN IP Enabled Services,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99-1515245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Bresnan Broadband Holdings,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13-4119839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Bresnan Broadband of Colorado,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Colorado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35-2403834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Bresnan Broadband of Montana,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Montana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32-0334681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Bresnan Broadband of Wyoming,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Wyoming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61-1642737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Bresnan Digital Services,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38-3833973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Bright House Networks Information Services (Alabama),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20-1544201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Bright House Networks Information Services (California),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20-1544390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Bright House Networks Information Services (Florida),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59-3758339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Bright House Networks Information Services (Indiana),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20-1544486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Bright House Networks Information Services (Michigan),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20-1544302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CC Fiberlink,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43-1928509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CC VI Fiberlink,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20-0310684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CC VII Fiberlink,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20-0310704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CCO Fiberlink,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20-0310854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CCO NR Holdings,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86-1067241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Communications ASC,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93-4070587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Communications SSC,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93-4084052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Communications,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43-1659860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Communications VI,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43-1854208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Communications VI HoldCo,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75-2775560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Distribution,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74-3089287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 Alabama,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20-0193389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 Georgia,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20-0193674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 Illinois,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43-1943035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 Maryland II,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81-2255084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 Michigan,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43-1875389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 Missouri,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43-1928511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 Nebraska,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81-0547765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 Tennessee,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20-0193707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CA-CCO,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43-1943040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CC VIII,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43-1793439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CCO,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43-1876029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CT-CCO,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20-0339366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LA-CCO,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20-0709283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5235"/>
        <w:gridCol w:w="109"/>
        <w:gridCol w:w="109"/>
        <w:gridCol w:w="1549"/>
        <w:gridCol w:w="109"/>
        <w:gridCol w:w="109"/>
        <w:gridCol w:w="1437"/>
        <w:gridCol w:w="155"/>
      </w:tblGrid>
      <w:tr>
        <w:trPr/>
        <w:tc>
          <w:tcPr>
            <w:tcW w:w="5235" w:type="dxa"/>
            <w:tcBorders>
              <w:bottom w:val="single" w:sz="2" w:space="0" w:color="000000"/>
            </w:tcBorders>
            <w:vAlign w:val="center"/>
          </w:tcPr>
          <w:p>
            <w:pPr>
              <w:pStyle w:val="TableContents"/>
              <w:bidi w:val="0"/>
              <w:spacing w:before="0" w:after="0"/>
              <w:jc w:val="left"/>
              <w:rPr>
                <w:spacing w:val="-3"/>
              </w:rPr>
            </w:pPr>
            <w:r>
              <w:rPr>
                <w:spacing w:val="-3"/>
              </w:rPr>
              <w:t xml:space="preserve">Exact Name of Additional Registrant Guarantor as Specified in its Charter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9" w:type="dxa"/>
            <w:tcBorders>
              <w:bottom w:val="single" w:sz="2" w:space="0" w:color="000000"/>
            </w:tcBorders>
            <w:vAlign w:val="center"/>
          </w:tcPr>
          <w:p>
            <w:pPr>
              <w:pStyle w:val="TableContents"/>
              <w:bidi w:val="0"/>
              <w:spacing w:before="0" w:after="0"/>
              <w:jc w:val="center"/>
              <w:rPr/>
            </w:pPr>
            <w:r>
              <w:rPr>
                <w:spacing w:val="-3"/>
              </w:rPr>
              <w:t>Jurisdiction of</w:t>
            </w:r>
            <w:r>
              <w:rPr/>
              <w:t xml:space="preserve"> </w:t>
              <w:br/>
            </w:r>
            <w:r>
              <w:rPr>
                <w:spacing w:val="-3"/>
              </w:rPr>
              <w:t>Incorporation or</w:t>
            </w:r>
            <w:r>
              <w:rPr/>
              <w:t xml:space="preserve"> </w:t>
              <w:br/>
            </w:r>
            <w:r>
              <w:rPr>
                <w:spacing w:val="-3"/>
              </w:rPr>
              <w:t xml:space="preserve">Organization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7" w:type="dxa"/>
            <w:tcBorders>
              <w:bottom w:val="single" w:sz="2" w:space="0" w:color="000000"/>
            </w:tcBorders>
            <w:vAlign w:val="center"/>
          </w:tcPr>
          <w:p>
            <w:pPr>
              <w:pStyle w:val="TableContents"/>
              <w:bidi w:val="0"/>
              <w:spacing w:before="0" w:after="0"/>
              <w:jc w:val="center"/>
              <w:rPr/>
            </w:pPr>
            <w:r>
              <w:rPr>
                <w:spacing w:val="-3"/>
              </w:rPr>
              <w:t>IRS Employer</w:t>
            </w:r>
            <w:r>
              <w:rPr/>
              <w:t xml:space="preserve"> </w:t>
              <w:br/>
            </w:r>
            <w:r>
              <w:rPr>
                <w:spacing w:val="-3"/>
              </w:rPr>
              <w:t>Identification</w:t>
            </w:r>
            <w:r>
              <w:rPr/>
              <w:t xml:space="preserve"> </w:t>
              <w:br/>
            </w:r>
            <w:r>
              <w:rPr>
                <w:spacing w:val="-3"/>
              </w:rPr>
              <w:t xml:space="preserve">Number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MA-CCO,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20-0258357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MS-CCVI,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20-0709405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NC-CCO,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20-0258604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NH-CCO,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20-0709514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NV-CCVII,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20-0474139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NY-CCO,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20-0426827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OR-CCVII,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20-0474232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SC-CCO,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43-1943037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TX-CCO,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43-1943038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VA-CCO,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20-0709822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VT-CCO,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20-0258644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Fiberlink WA-CCVII,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20-0474261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IP Enabled Services,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92-3313105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Leasing Holding Company,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47-4669203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Charter Procurement Leasing,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47-4657690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DukeNet Communications,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27-2985707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Innovar Media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46-5437739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Spectrum Advanced Services,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26-0354307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Spectrum Fiberlink Florida,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84-4375530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Spectrum Gulf Coast,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45-4608769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Spectrum Mid-America,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45-4593320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Spectrum Mobile Equipment,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82-3887201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Spectrum Mobile,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82-2492552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Spectrum New York Metro,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45-4593291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Spectrum NLP,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45-1560311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Spectrum Northeast,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45-4593341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Spectrum Oceanic,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45-4593273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Spectrum Originals Development,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83-1623014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Spectrum Originals,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82-3414467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Spectrum Pacific West,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45-4593361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Spectrum Reach,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27-4633156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Spectrum RSN,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83-1611206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Spectrum SN,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93-1943164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Spectrum Southeast,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45-4608839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Spectrum SportsNet,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93-1958585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Spectrum Sunshine State,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02-0636401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Spectrum TV Essentials,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83-4704194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Spectrum Wireless Holdings,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83-1856732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Business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35-2466312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Enterprises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45-4854395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(Alabama),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20-0639409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5235"/>
        <w:gridCol w:w="109"/>
        <w:gridCol w:w="109"/>
        <w:gridCol w:w="1549"/>
        <w:gridCol w:w="109"/>
        <w:gridCol w:w="109"/>
        <w:gridCol w:w="1437"/>
        <w:gridCol w:w="155"/>
      </w:tblGrid>
      <w:tr>
        <w:trPr/>
        <w:tc>
          <w:tcPr>
            <w:tcW w:w="5235" w:type="dxa"/>
            <w:tcBorders>
              <w:bottom w:val="single" w:sz="2" w:space="0" w:color="000000"/>
            </w:tcBorders>
            <w:vAlign w:val="center"/>
          </w:tcPr>
          <w:p>
            <w:pPr>
              <w:pStyle w:val="TableContents"/>
              <w:bidi w:val="0"/>
              <w:spacing w:before="0" w:after="0"/>
              <w:jc w:val="left"/>
              <w:rPr>
                <w:spacing w:val="-3"/>
              </w:rPr>
            </w:pPr>
            <w:r>
              <w:rPr>
                <w:spacing w:val="-3"/>
              </w:rPr>
              <w:t xml:space="preserve">Exact Name of Additional Registrant Guarantor as Specified in its Charter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9" w:type="dxa"/>
            <w:tcBorders>
              <w:bottom w:val="single" w:sz="2" w:space="0" w:color="000000"/>
            </w:tcBorders>
            <w:vAlign w:val="center"/>
          </w:tcPr>
          <w:p>
            <w:pPr>
              <w:pStyle w:val="TableContents"/>
              <w:bidi w:val="0"/>
              <w:spacing w:before="0" w:after="0"/>
              <w:jc w:val="center"/>
              <w:rPr/>
            </w:pPr>
            <w:r>
              <w:rPr>
                <w:spacing w:val="-3"/>
              </w:rPr>
              <w:t>Jurisdiction of</w:t>
            </w:r>
            <w:r>
              <w:rPr/>
              <w:t xml:space="preserve"> </w:t>
              <w:br/>
            </w:r>
            <w:r>
              <w:rPr>
                <w:spacing w:val="-3"/>
              </w:rPr>
              <w:t>Incorporation or</w:t>
            </w:r>
            <w:r>
              <w:rPr/>
              <w:t xml:space="preserve"> </w:t>
              <w:br/>
            </w:r>
            <w:r>
              <w:rPr>
                <w:spacing w:val="-3"/>
              </w:rPr>
              <w:t xml:space="preserve">Organization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7" w:type="dxa"/>
            <w:tcBorders>
              <w:bottom w:val="single" w:sz="2" w:space="0" w:color="000000"/>
            </w:tcBorders>
            <w:vAlign w:val="center"/>
          </w:tcPr>
          <w:p>
            <w:pPr>
              <w:pStyle w:val="TableContents"/>
              <w:bidi w:val="0"/>
              <w:spacing w:before="0" w:after="0"/>
              <w:jc w:val="center"/>
              <w:rPr/>
            </w:pPr>
            <w:r>
              <w:rPr>
                <w:spacing w:val="-3"/>
              </w:rPr>
              <w:t>IRS Employer</w:t>
            </w:r>
            <w:r>
              <w:rPr/>
              <w:t xml:space="preserve"> </w:t>
              <w:br/>
            </w:r>
            <w:r>
              <w:rPr>
                <w:spacing w:val="-3"/>
              </w:rPr>
              <w:t>Identification</w:t>
            </w:r>
            <w:r>
              <w:rPr/>
              <w:t xml:space="preserve"> </w:t>
              <w:br/>
            </w:r>
            <w:r>
              <w:rPr>
                <w:spacing w:val="-3"/>
              </w:rPr>
              <w:t xml:space="preserve">Number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(Arizona),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20-4370232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(California),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20-0162970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(Colorado),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26-2375439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(Hawaii),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20-0162993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(Idaho),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20-8254896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(Illinois),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26-2375576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(Indiana),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20-1618562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(Kansas),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20-0163009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(Kentucky),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20-4370430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(Maine),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48-1296576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(Massachusetts),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20-0639517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(Michigan),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26-2376102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(Missouri),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20-0163031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(Nebraska),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20-0597251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(New Hampshire),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20-0834759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(New Jersey),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20-0605091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(New Mexico),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20-8244978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(New York),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06-1530234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(North Carolina),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05-0563203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(Ohio),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20-0163449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(Pennsylvania),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20-0639607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(South Carolina),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20-0163480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(Tennessee),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20-0639795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(Texas),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20-0095157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(Virginia),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20-4370738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(Washington),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20-5690377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(West Virginia),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20-1620308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Information Services (Wisconsin),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20-0163685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Time Warner Cable,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81-2545593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TWC Administration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90-0882471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TWC Communications,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35-2205910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TWC IP Enabled Services,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92-3326637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TWC SEE Holdco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20-5421447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TWCIS Holdco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spacing w:val="4"/>
              </w:rPr>
            </w:pPr>
            <w:r>
              <w:rPr>
                <w:spacing w:val="4"/>
              </w:rPr>
              <w:t xml:space="preserve">27-3481972 </w:t>
            </w:r>
          </w:p>
        </w:tc>
        <w:tc>
          <w:tcPr>
            <w:tcW w:w="155" w:type="dxa"/>
            <w:tcBorders/>
            <w:tcMar>
              <w:bottom w:w="0" w:type="dxa"/>
            </w:tcMar>
            <w:vAlign w:val="center"/>
          </w:tcPr>
          <w:p>
            <w:pPr>
              <w:pStyle w:val="TableContents"/>
              <w:bidi w:val="0"/>
              <w:spacing w:before="0" w:after="283"/>
              <w:jc w:val="left"/>
              <w:rPr/>
            </w:pPr>
            <w:r>
              <w:rPr/>
              <w:t>​</w:t>
            </w:r>
          </w:p>
        </w:tc>
      </w:tr>
      <w:tr>
        <w:trPr/>
        <w:tc>
          <w:tcPr>
            <w:tcW w:w="5235" w:type="dxa"/>
            <w:tcBorders/>
            <w:tcMar>
              <w:bottom w:w="0" w:type="dxa"/>
            </w:tcMar>
            <w:vAlign w:val="center"/>
          </w:tcPr>
          <w:p>
            <w:pPr>
              <w:pStyle w:val="TableContents"/>
              <w:bidi w:val="0"/>
              <w:spacing w:before="0" w:after="283"/>
              <w:jc w:val="left"/>
              <w:rPr>
                <w:spacing w:val="4"/>
              </w:rPr>
            </w:pPr>
            <w:r>
              <w:rPr>
                <w:spacing w:val="4"/>
              </w:rPr>
              <w:t xml:space="preserve">Visual Advertising Sales Technology,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9"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7" w:type="dxa"/>
            <w:tcBorders/>
            <w:tcMar>
              <w:bottom w:w="0" w:type="dxa"/>
            </w:tcMar>
            <w:vAlign w:val="center"/>
          </w:tcPr>
          <w:p>
            <w:pPr>
              <w:pStyle w:val="TableContents"/>
              <w:bidi w:val="0"/>
              <w:spacing w:before="0" w:after="0"/>
              <w:jc w:val="center"/>
              <w:rPr/>
            </w:pPr>
            <w:r>
              <w:rPr>
                <w:spacing w:val="4"/>
              </w:rPr>
              <w:t>68-0470452</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Charter Communications, Inc.</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Charter Communications Operating, LLC</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Charter Communications Operating Capital Corp.</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CCO Holdings, LLC</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CCO Holdings Capital Corp.</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Guarantee of 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Charter Communications Operating, LLC (“CCO”) and Charter Communications Operating Capital Corp. (“CCO Capital,” and together with CCO, the “CCO Issuers”), CCO Holdings, LLC (“CCO Holdings”) and CCO Holdings Capital Corp. (“CCO Holdings Capital,” and together with CCO Holdings, the “CCOH Issuers”) or Charter Communications, Inc. (“Charter,” together with the CCO Issuers and the CCOH Issuers, the “Issuers,” “we,” “our” and “us,” and each an “Issuer”) may, from time to time, offer and sell debt securities. Such debt securities may be secured or unsecured. Debt securities issued by the CCO Issuers may be guaranteed by Charter, any of the CCOH Issuers and/or any of the additional Registrant Guarantors named in the Table of Additional Registrant Guarantors (the “additional Registrant Guarantors”) and secured by assets of the CCO Issuers, Charter, any of the CCOH Issuers and/or any of the additional Registrant Guarantors. Debt securities issued by CCOH Issuers may be guaranteed by Charter, any of the CCO Issuers and/or any of the additional Registrant Guarantors and secured by assets of the CCOH Issuers, Charter, any of the CCO Issuers and/or any of the additional Registrant Guarantors. Debt securities issued by Charter may be guaranteed by any of the CCO Issuers, any of the CCOH Issuers and/or any of the additional Registrant Guarantors and secured by assets of Charter, any of the CCO Issuers, any of the CCOH Issuers and/or any of the additional Registrant Guarantors.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these debt securities separately or together, in one or more series and in amounts, at prices and on terms described in one or more offerings. When we decide to sell a particular series of these debt securities, the terms of the debt securities, including the initial offering price and the aggregate amount of the offering will be provided in one or more supplements to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may be sold to or through one or more underwriters, dealers and agents, or directly to purchasers, on a continuous or delayed basis. The prospectus supplement for each offering of debt securities will describe in detail the plan of distribution for that offering. For general information about the distribution of securities offered, please see “Plan of Distribution” in this prospectus.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See “Risk Factors” beginning on page </w:t>
      </w:r>
      <w:hyperlink w:anchor="tRIFA">
        <w:r>
          <w:rPr>
            <w:rStyle w:val="InternetLink"/>
          </w:rPr>
          <w:t>3</w:t>
        </w:r>
      </w:hyperlink>
      <w:r>
        <w:rPr>
          <w:rFonts w:ascii="Times New Roman;Times;serif" w:hAnsi="Times New Roman;Times;serif"/>
          <w:b/>
          <w:i w:val="false"/>
          <w:caps w:val="false"/>
          <w:smallCaps w:val="false"/>
          <w:color w:val="000000"/>
          <w:spacing w:val="-4"/>
          <w:sz w:val="20"/>
        </w:rPr>
        <w:t xml:space="preserve"> of this prospectus for a discussion of certain risks that you should consider prior to investing in the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dated July 27, 2026.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should rely only on the information contained in this prospectus or to which we have referred you. We have not authorized anyone to provide you with information that is different. This prospectus may only be used where it is legal to sell these securities. The information in this prospectus may only be accurate on the date of this prospectus.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650"/>
        <w:gridCol w:w="109"/>
        <w:gridCol w:w="109"/>
        <w:gridCol w:w="109"/>
        <w:gridCol w:w="109"/>
        <w:gridCol w:w="33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50" w:type="dxa"/>
            <w:tcBorders/>
            <w:shd w:fill="CCEEFF" w:val="clear"/>
            <w:vAlign w:val="center"/>
          </w:tcPr>
          <w:p>
            <w:pPr>
              <w:pStyle w:val="TableContents"/>
              <w:bidi w:val="0"/>
              <w:spacing w:before="0" w:after="0"/>
              <w:jc w:val="left"/>
              <w:rPr/>
            </w:pPr>
            <w:hyperlink w:anchor="tATP">
              <w:r>
                <w:rPr>
                  <w:rStyle w:val="InternetLink"/>
                  <w:spacing w:val="-4"/>
                </w:rPr>
                <w:t>ABOUT THIS PROSPECTUS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38" w:type="dxa"/>
            <w:tcBorders/>
            <w:shd w:fill="CCEEFF" w:val="clear"/>
            <w:vAlign w:val="center"/>
          </w:tcPr>
          <w:p>
            <w:pPr>
              <w:pStyle w:val="TableContents"/>
              <w:bidi w:val="0"/>
              <w:spacing w:before="0" w:after="283"/>
              <w:jc w:val="right"/>
              <w:rPr/>
            </w:pPr>
            <w:hyperlink w:anchor="tATP">
              <w:r>
                <w:rPr>
                  <w:rStyle w:val="InternetLink"/>
                  <w:spacing w:val="-4"/>
                </w:rPr>
                <w:t>ii</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50" w:type="dxa"/>
            <w:tcBorders/>
            <w:vAlign w:val="center"/>
          </w:tcPr>
          <w:p>
            <w:pPr>
              <w:pStyle w:val="TableContents"/>
              <w:bidi w:val="0"/>
              <w:spacing w:before="0" w:after="0"/>
              <w:jc w:val="left"/>
              <w:rPr/>
            </w:pPr>
            <w:hyperlink w:anchor="tCNRF">
              <w:r>
                <w:rPr>
                  <w:rStyle w:val="InternetLink"/>
                  <w:spacing w:val="-4"/>
                </w:rPr>
                <w:t>CAUTIONARY NOTE REGARDING FORWARD-LOOKING STATEMENTS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38" w:type="dxa"/>
            <w:tcBorders/>
            <w:vAlign w:val="center"/>
          </w:tcPr>
          <w:p>
            <w:pPr>
              <w:pStyle w:val="TableContents"/>
              <w:bidi w:val="0"/>
              <w:spacing w:before="0" w:after="283"/>
              <w:jc w:val="right"/>
              <w:rPr/>
            </w:pPr>
            <w:hyperlink w:anchor="tCNRF">
              <w:r>
                <w:rPr>
                  <w:rStyle w:val="InternetLink"/>
                  <w:spacing w:val="-4"/>
                </w:rPr>
                <w:t>ii</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50" w:type="dxa"/>
            <w:tcBorders/>
            <w:shd w:fill="CCEEFF" w:val="clear"/>
            <w:vAlign w:val="center"/>
          </w:tcPr>
          <w:p>
            <w:pPr>
              <w:pStyle w:val="TableContents"/>
              <w:bidi w:val="0"/>
              <w:spacing w:before="0" w:after="0"/>
              <w:jc w:val="left"/>
              <w:rPr/>
            </w:pPr>
            <w:hyperlink w:anchor="tWYCF">
              <w:r>
                <w:rPr>
                  <w:rStyle w:val="InternetLink"/>
                  <w:spacing w:val="-4"/>
                </w:rPr>
                <w:t>WHERE YOU CAN FIND ADDITIONAL INFORMATION</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38" w:type="dxa"/>
            <w:tcBorders/>
            <w:shd w:fill="CCEEFF" w:val="clear"/>
            <w:vAlign w:val="center"/>
          </w:tcPr>
          <w:p>
            <w:pPr>
              <w:pStyle w:val="TableContents"/>
              <w:bidi w:val="0"/>
              <w:spacing w:before="0" w:after="283"/>
              <w:jc w:val="right"/>
              <w:rPr/>
            </w:pPr>
            <w:hyperlink w:anchor="tWYCF">
              <w:r>
                <w:rPr>
                  <w:rStyle w:val="InternetLink"/>
                  <w:spacing w:val="-4"/>
                </w:rPr>
                <w:t>iv</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50" w:type="dxa"/>
            <w:tcBorders/>
            <w:vAlign w:val="center"/>
          </w:tcPr>
          <w:p>
            <w:pPr>
              <w:pStyle w:val="TableContents"/>
              <w:bidi w:val="0"/>
              <w:spacing w:before="0" w:after="0"/>
              <w:jc w:val="left"/>
              <w:rPr/>
            </w:pPr>
            <w:hyperlink w:anchor="tIBRO">
              <w:r>
                <w:rPr>
                  <w:rStyle w:val="InternetLink"/>
                  <w:spacing w:val="-4"/>
                </w:rPr>
                <w:t>INCORPORATION BY REFERENCE OF CERTAIN DOCUMENTS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38" w:type="dxa"/>
            <w:tcBorders/>
            <w:vAlign w:val="center"/>
          </w:tcPr>
          <w:p>
            <w:pPr>
              <w:pStyle w:val="TableContents"/>
              <w:bidi w:val="0"/>
              <w:spacing w:before="0" w:after="283"/>
              <w:jc w:val="right"/>
              <w:rPr/>
            </w:pPr>
            <w:hyperlink w:anchor="tIBRO">
              <w:r>
                <w:rPr>
                  <w:rStyle w:val="InternetLink"/>
                  <w:spacing w:val="-4"/>
                </w:rPr>
                <w:t>iv</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50" w:type="dxa"/>
            <w:tcBorders/>
            <w:shd w:fill="CCEEFF" w:val="clear"/>
            <w:vAlign w:val="center"/>
          </w:tcPr>
          <w:p>
            <w:pPr>
              <w:pStyle w:val="TableContents"/>
              <w:bidi w:val="0"/>
              <w:spacing w:before="0" w:after="0"/>
              <w:jc w:val="left"/>
              <w:rPr/>
            </w:pPr>
            <w:hyperlink w:anchor="tPRSU">
              <w:r>
                <w:rPr>
                  <w:rStyle w:val="InternetLink"/>
                  <w:spacing w:val="-4"/>
                </w:rPr>
                <w:t>PROSPECTUS SUMMARY</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38" w:type="dxa"/>
            <w:tcBorders/>
            <w:shd w:fill="CCEEFF" w:val="clear"/>
            <w:vAlign w:val="center"/>
          </w:tcPr>
          <w:p>
            <w:pPr>
              <w:pStyle w:val="TableContents"/>
              <w:bidi w:val="0"/>
              <w:spacing w:before="0" w:after="283"/>
              <w:jc w:val="right"/>
              <w:rPr/>
            </w:pPr>
            <w:hyperlink w:anchor="tPRSU">
              <w:r>
                <w:rPr>
                  <w:rStyle w:val="InternetLink"/>
                  <w:spacing w:val="-4"/>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50" w:type="dxa"/>
            <w:tcBorders/>
            <w:vAlign w:val="center"/>
          </w:tcPr>
          <w:p>
            <w:pPr>
              <w:pStyle w:val="TableContents"/>
              <w:bidi w:val="0"/>
              <w:spacing w:before="0" w:after="0"/>
              <w:jc w:val="left"/>
              <w:rPr/>
            </w:pPr>
            <w:hyperlink w:anchor="tRIFA">
              <w:r>
                <w:rPr>
                  <w:rStyle w:val="InternetLink"/>
                  <w:spacing w:val="-4"/>
                </w:rPr>
                <w:t>RISK FACTORS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38" w:type="dxa"/>
            <w:tcBorders/>
            <w:vAlign w:val="center"/>
          </w:tcPr>
          <w:p>
            <w:pPr>
              <w:pStyle w:val="TableContents"/>
              <w:bidi w:val="0"/>
              <w:spacing w:before="0" w:after="283"/>
              <w:jc w:val="right"/>
              <w:rPr/>
            </w:pPr>
            <w:hyperlink w:anchor="tRIFA">
              <w:r>
                <w:rPr>
                  <w:rStyle w:val="InternetLink"/>
                  <w:spacing w:val="-4"/>
                </w:rPr>
                <w:t>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50" w:type="dxa"/>
            <w:tcBorders/>
            <w:shd w:fill="CCEEFF" w:val="clear"/>
            <w:vAlign w:val="center"/>
          </w:tcPr>
          <w:p>
            <w:pPr>
              <w:pStyle w:val="TableContents"/>
              <w:bidi w:val="0"/>
              <w:spacing w:before="0" w:after="0"/>
              <w:jc w:val="left"/>
              <w:rPr/>
            </w:pPr>
            <w:hyperlink w:anchor="tUOP">
              <w:r>
                <w:rPr>
                  <w:rStyle w:val="InternetLink"/>
                  <w:spacing w:val="-4"/>
                </w:rPr>
                <w:t>USE OF PROCEEDS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38" w:type="dxa"/>
            <w:tcBorders/>
            <w:shd w:fill="CCEEFF" w:val="clear"/>
            <w:vAlign w:val="center"/>
          </w:tcPr>
          <w:p>
            <w:pPr>
              <w:pStyle w:val="TableContents"/>
              <w:bidi w:val="0"/>
              <w:spacing w:before="0" w:after="283"/>
              <w:jc w:val="right"/>
              <w:rPr/>
            </w:pPr>
            <w:hyperlink w:anchor="tUOP">
              <w:r>
                <w:rPr>
                  <w:rStyle w:val="InternetLink"/>
                  <w:spacing w:val="-4"/>
                </w:rPr>
                <w:t>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50" w:type="dxa"/>
            <w:tcBorders/>
            <w:vAlign w:val="center"/>
          </w:tcPr>
          <w:p>
            <w:pPr>
              <w:pStyle w:val="TableContents"/>
              <w:bidi w:val="0"/>
              <w:spacing w:before="0" w:after="0"/>
              <w:jc w:val="left"/>
              <w:rPr/>
            </w:pPr>
            <w:hyperlink w:anchor="tPOD">
              <w:r>
                <w:rPr>
                  <w:rStyle w:val="InternetLink"/>
                  <w:spacing w:val="-4"/>
                </w:rPr>
                <w:t>PLAN OF DISTRIBUTION</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38" w:type="dxa"/>
            <w:tcBorders/>
            <w:vAlign w:val="center"/>
          </w:tcPr>
          <w:p>
            <w:pPr>
              <w:pStyle w:val="TableContents"/>
              <w:bidi w:val="0"/>
              <w:spacing w:before="0" w:after="283"/>
              <w:jc w:val="right"/>
              <w:rPr/>
            </w:pPr>
            <w:hyperlink w:anchor="tPOD">
              <w:r>
                <w:rPr>
                  <w:rStyle w:val="InternetLink"/>
                  <w:spacing w:val="-4"/>
                </w:rPr>
                <w:t>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50" w:type="dxa"/>
            <w:tcBorders/>
            <w:shd w:fill="CCEEFF" w:val="clear"/>
            <w:vAlign w:val="center"/>
          </w:tcPr>
          <w:p>
            <w:pPr>
              <w:pStyle w:val="TableContents"/>
              <w:bidi w:val="0"/>
              <w:spacing w:before="0" w:after="283"/>
              <w:jc w:val="left"/>
              <w:rPr/>
            </w:pPr>
            <w:hyperlink w:anchor="tEXP">
              <w:r>
                <w:rPr>
                  <w:rStyle w:val="InternetLink"/>
                  <w:spacing w:val="-4"/>
                </w:rPr>
                <w:t>EXPERTS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38" w:type="dxa"/>
            <w:tcBorders/>
            <w:shd w:fill="CCEEFF" w:val="clear"/>
            <w:vAlign w:val="center"/>
          </w:tcPr>
          <w:p>
            <w:pPr>
              <w:pStyle w:val="TableContents"/>
              <w:bidi w:val="0"/>
              <w:spacing w:before="0" w:after="283"/>
              <w:jc w:val="right"/>
              <w:rPr/>
            </w:pPr>
            <w:hyperlink w:anchor="tEXP">
              <w:r>
                <w:rPr>
                  <w:rStyle w:val="InternetLink"/>
                  <w:spacing w:val="-4"/>
                </w:rPr>
                <w:t>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50" w:type="dxa"/>
            <w:tcBorders/>
            <w:vAlign w:val="center"/>
          </w:tcPr>
          <w:p>
            <w:pPr>
              <w:pStyle w:val="TableContents"/>
              <w:bidi w:val="0"/>
              <w:spacing w:before="0" w:after="0"/>
              <w:jc w:val="left"/>
              <w:rPr/>
            </w:pPr>
            <w:hyperlink w:anchor="tLEMA">
              <w:r>
                <w:rPr>
                  <w:rStyle w:val="InternetLink"/>
                  <w:spacing w:val="-4"/>
                </w:rPr>
                <w:t>LEGAL MATTERS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38" w:type="dxa"/>
            <w:tcBorders/>
            <w:vAlign w:val="center"/>
          </w:tcPr>
          <w:p>
            <w:pPr>
              <w:pStyle w:val="TableContents"/>
              <w:bidi w:val="0"/>
              <w:spacing w:before="0" w:after="283"/>
              <w:jc w:val="right"/>
              <w:rPr/>
            </w:pPr>
            <w:hyperlink w:anchor="tLEMA">
              <w:r>
                <w:rPr>
                  <w:rStyle w:val="InternetLink"/>
                  <w:spacing w:val="-4"/>
                </w:rPr>
                <w:t>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ATP"/>
      <w:bookmarkEnd w:id="4"/>
      <w:r>
        <w:rPr>
          <w:rFonts w:ascii="calibri;arial;sans-serif" w:hAnsi="calibri;arial;sans-serif"/>
          <w:b w:val="false"/>
          <w:i w:val="false"/>
          <w:caps w:val="false"/>
          <w:smallCaps w:val="false"/>
          <w:color w:val="000000"/>
          <w:sz w:val="16"/>
        </w:rPr>
        <w:t>​</w:t>
      </w:r>
      <w:bookmarkStart w:id="5" w:name="tCNR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an automatic shelf registration statement that we filed with the Securities and Exchange Commission (the “SEC”), as a “well-known seasoned issuer” as defined in Rule 405 under the Securities Act of 1933, as amended (the “Securities Act”). By using an automatic shelf registration statement, we may, at any time and from time to time, sell securities under this prospectus in one or more offerings in an unlimited amount. As allowed by the SEC rules,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we may offer. Each time we sell securities, we will provide a prospectus supplement that will contain specific information about the terms of the offering and the offered securities. This prospectus, together with applicable prospectus supplements, any information incorporated by reference, and any related free writing prospectuses we file with the SEC, includes all material information relating to these offerings and securities. We may also add, update or change in the prospectus supplement any of the information contained in this prospectus or in the documents that we have incorporated by reference into this prospectus, including without limitation, a discussion of any risk factors or other special considerations that apply to these offerings or securities or the specific plan of distribution. If there is any inconsistency between the information in this prospectus and a prospectus supplement or information incorporated by reference having a later date, you should rely on the information in that prospectus supplement or incorporated information having a later date. We urge you to read carefully this prospectus, any applicable prospectus supplement and any related free writing prospectus, together with the information incorporated herein by reference as described under the heading “Incorporation By Reference of Certain Documents” and the additional information described under the heading “Where You Can Find Additional Information,” before buying any of the securities being offered.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we have provided or incorporated by reference in this prospectus, any applicable prospectus supplement and any related free writing prospectus. We have not authorized anyone to provide you with different information. No dealer, salesperson or other person is authorized to give any information or to represent anything not contained in this prospectus, any applicable prospectus supplement or any related free writing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includes forward-looking statements within the meaning of Section 27A of the Securities Act and Section 21E of the Securities Exchange Act of 1934, as amended (the “Exchange Act”), regarding, among other things, our plans, strategies and prospects, both business and financial. Although we believe that our plans, intentions and expectations as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in the section entitled “Risk Factors” in this prospectus and in the documents incorporated by reference in this prospectus. Many of the forward-looking statements contained in this prospectus may be identified by the use of forward-looking words such as “believe,” “future,”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prospectus are set forth in this prospectus, in our annual report on Form 10-K for the year ended December 31, 2025 and our other periodic reports and other reports or documents that we file from time to time with the SEC, and include, but are not limited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sustain and grow revenues and cash flow from operations by offering Internet, mobile, video, voice, advertising and other services to residential and commercial customers, to adequately meet the customer experience demands in our service areas and to maintain and grow our customer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particularly in the face of increasingly aggressive competition, the need for innovation and the related capital expenditures;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competition from other market participants, including but not limited to incumbent telephone companies, direct broadcast satellite (“DBS”) operators, wireless and satellite broadband and telephone providers, digital subscriber line (“DSL”) providers, fiber to the home providers and providers of video content over broadband Internet connections;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business conditions, unemployment levels and the level of activity in the housing sector and economic uncertainty or downturn;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develop and deploy new products and technologies including consumer services and service platforms;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events that disrupt our networks, information systems or properties and impair our operating activities or our reputation;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governmental regulation on our business including subsidies to consumers, subsidies and incentives for competitors, costs, disruptions and possible limitations on operating flexibility related to, and our ability to comply with, regulatory conditions applicable to us;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procure necessary services and equipment from our vendors in a timely manner and at reasonable costs including in connection with our network evolution and rural construction initiatives;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programming at reasonable prices or to raise prices to offset, in whole or in part, the effects of higher programming costs (including retransmission consents and distribution requirements);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hire and retain key personnel;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and access, in general, of funds to meet our debt obligations prior to or when they become due and to fund our operations and necessary capital expenditures, either through (i) cash on hand, (ii) free cash flow, or (iii) access to the capital or credit markets;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comply with all covenants in our indentures and credit facilities, any violation of which, if not cured in a timely manner, could trigger a default of our other obligations under cross-default provisions;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satisfy the conditions to consummate the Liberty Broadband Combination and/or the Cox Transactions and/or to consummate the Liberty Broadband Combination and/or the Cox Transactions in a timely manner or at all;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related to us being restricted in the operation of our business while the Liberty Broadband Merger Agreement and the Cox Communications Transaction Agreement are in effect;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related to the Liberty Broadband Combination as described in the definitive joint proxy statement/prospectus with respect to the Liberty Broadband Combination, filed by Charter on January 22, 2025, including the sections entitled “Risk Factors” and “Where You Can Find More Information” included therein; and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related to the Cox Transactions as described in the definitive proxy statement with respect to the Cox Transactions, filed by Charter on July 2, 2025, including the sections entitled “Risk Factors” and “Where You Can Find More Information” included therein.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forward-looking statements attributable to us or any person acting on our behalf are expressly qualified in their entirety by this cautionary statement. We are under no duty or obligation to update any of the forward-looking statements after the date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WYCF"/>
      <w:bookmarkEnd w:id="6"/>
      <w:r>
        <w:rPr>
          <w:rFonts w:ascii="calibri;arial;sans-serif" w:hAnsi="calibri;arial;sans-serif"/>
          <w:b w:val="false"/>
          <w:i w:val="false"/>
          <w:caps w:val="false"/>
          <w:smallCaps w:val="false"/>
          <w:color w:val="000000"/>
          <w:sz w:val="16"/>
        </w:rPr>
        <w:t>​</w:t>
      </w:r>
      <w:bookmarkStart w:id="7" w:name="tIBRO"/>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Issuers have filed with the SEC a registration statement on Form S-3 under the Securities Act to register with the SEC their respective debt securities being offered in this prospectus and any guarantees thereof. This prospectus, which constitutes a part of the registration statement, does not contain all of the information set forth in the registration statement or the exhibits and schedules filed with it. For further information about the Issuers, reference is made to the registration statement and the exhibits and schedules filed with it.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Charter and CCO Holdings file annual, quarterly and current reports, proxy and registration statements and other information with the SEC. The SEC also maintains an Internet website that contains reports, proxy and information statements and other information regarding registrants that file electronically with the SEC. The address of the site is www.sec.gov.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 OF CERTAIN DOCUMENTS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Charter and CCO Holdings files annual, quarterly, special reports and other information with the SEC. This prospectus incorporates by reference certain information of Charter and of CCO Holdings filed with the SEC, which means that the Issuers disclose important information to you by referring you to those documents. The information incorporated by reference is an important part of this prospectus, and information that Charter and CCO Holdings file later with the SEC will automatically update and supersede this information. Specifically, this prospectus incorporates by reference the documents listed below and any future filings of Charter or CCO Holdings made with the SEC under Sections 13(a), 13(c), 14 or 15(d) of the Exchange Act (in each case excluding any information furnished but not filed) prior to the termination of this offering: </w:t>
      </w:r>
    </w:p>
    <w:p>
      <w:pPr>
        <w:pStyle w:val="TextBody"/>
        <w:bidi w:val="0"/>
        <w:spacing w:lineRule="atLeast" w:line="240" w:before="120" w:after="0"/>
        <w:ind w:left="1993" w:right="0" w:hanging="0"/>
        <w:jc w:val="left"/>
        <w:rPr/>
      </w:pPr>
      <w:hyperlink r:id="rId2">
        <w:r>
          <w:rPr>
            <w:rStyle w:val="InternetLink"/>
          </w:rPr>
          <w:t>Charter’s Annual Report on Form 10-K for the year ended December 31, 2025, filed with the SEC on January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Portions of Charter’s definitive proxy statement on </w:t>
      </w:r>
      <w:hyperlink r:id="rId3">
        <w:r>
          <w:rPr>
            <w:rStyle w:val="InternetLink"/>
          </w:rPr>
          <w:t>Schedule 14A</w:t>
        </w:r>
      </w:hyperlink>
      <w:r>
        <w:rPr>
          <w:rFonts w:ascii="Times New Roman;Times;serif" w:hAnsi="Times New Roman;Times;serif"/>
          <w:b w:val="false"/>
          <w:i w:val="false"/>
          <w:caps w:val="false"/>
          <w:smallCaps w:val="false"/>
          <w:color w:val="000000"/>
          <w:spacing w:val="4"/>
          <w:sz w:val="20"/>
        </w:rPr>
        <w:t xml:space="preserve"> filed with the SEC on March 12, 2026 that are incorporated by reference into Charter’s Annual Report on Form 10-K for the year ended December 31, 2025;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Charter’s Quarterly Reports on Form 10-Q for the three months ended March 31, 2026, filed with the SEC on </w:t>
      </w:r>
      <w:hyperlink r:id="rId4">
        <w:r>
          <w:rPr>
            <w:rStyle w:val="InternetLink"/>
          </w:rPr>
          <w:t>April 24, 2026</w:t>
        </w:r>
      </w:hyperlink>
      <w:r>
        <w:rPr>
          <w:rFonts w:ascii="Times New Roman;Times;serif" w:hAnsi="Times New Roman;Times;serif"/>
          <w:b w:val="false"/>
          <w:i w:val="false"/>
          <w:caps w:val="false"/>
          <w:smallCaps w:val="false"/>
          <w:color w:val="000000"/>
          <w:spacing w:val="4"/>
          <w:sz w:val="20"/>
        </w:rPr>
        <w:t xml:space="preserve">, and for the three and six months ended June 30, 2026, filed with the SEC on </w:t>
      </w:r>
      <w:hyperlink r:id="rId5">
        <w:r>
          <w:rPr>
            <w:rStyle w:val="InternetLink"/>
          </w:rPr>
          <w:t>July 24,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Charter’s Current Reports on Form 8-K filed with the SEC on </w:t>
      </w:r>
      <w:hyperlink r:id="rId6">
        <w:r>
          <w:rPr>
            <w:rStyle w:val="InternetLink"/>
          </w:rPr>
          <w:t>January 6, 2026</w:t>
        </w:r>
      </w:hyperlink>
      <w:r>
        <w:rPr>
          <w:rFonts w:ascii="Times New Roman;Times;serif" w:hAnsi="Times New Roman;Times;serif"/>
          <w:b w:val="false"/>
          <w:i w:val="false"/>
          <w:caps w:val="false"/>
          <w:smallCaps w:val="false"/>
          <w:color w:val="000000"/>
          <w:spacing w:val="4"/>
          <w:sz w:val="20"/>
        </w:rPr>
        <w:t xml:space="preserve">, </w:t>
      </w:r>
      <w:hyperlink r:id="rId7">
        <w:r>
          <w:rPr>
            <w:rStyle w:val="InternetLink"/>
          </w:rPr>
          <w:t>January 14, 2026</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January 22,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January 28,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February 25,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April 23,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May 19, 2026</w:t>
        </w:r>
      </w:hyperlink>
      <w:r>
        <w:rPr>
          <w:rFonts w:ascii="Times New Roman;Times;serif" w:hAnsi="Times New Roman;Times;serif"/>
          <w:b w:val="false"/>
          <w:i w:val="false"/>
          <w:caps w:val="false"/>
          <w:smallCaps w:val="false"/>
          <w:color w:val="000000"/>
          <w:spacing w:val="4"/>
          <w:sz w:val="20"/>
        </w:rPr>
        <w:t xml:space="preserve"> and </w:t>
      </w:r>
      <w:hyperlink r:id="rId13">
        <w:r>
          <w:rPr>
            <w:rStyle w:val="InternetLink"/>
          </w:rPr>
          <w:t>July 23, 2026</w:t>
        </w:r>
      </w:hyperlink>
      <w:r>
        <w:rPr>
          <w:rFonts w:ascii="Times New Roman;Times;serif" w:hAnsi="Times New Roman;Times;serif"/>
          <w:b w:val="false"/>
          <w:i w:val="false"/>
          <w:caps w:val="false"/>
          <w:smallCaps w:val="false"/>
          <w:color w:val="000000"/>
          <w:spacing w:val="4"/>
          <w:sz w:val="20"/>
        </w:rPr>
        <w:t xml:space="preserve"> (in each case excluding any information furnished but not filed);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14">
        <w:r>
          <w:rPr>
            <w:rStyle w:val="InternetLink"/>
          </w:rPr>
          <w:t>CCO Holdings’ Annual Report on Form 10-K for the year ended December 31, 2025, filed with the SEC on January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CCO Holdings’ Quarterly Reports on Form 10-Q for the three months ended </w:t>
      </w:r>
      <w:hyperlink r:id="rId15">
        <w:r>
          <w:rPr>
            <w:rStyle w:val="InternetLink"/>
          </w:rPr>
          <w:t>March 31, 2026</w:t>
        </w:r>
      </w:hyperlink>
      <w:r>
        <w:rPr>
          <w:rFonts w:ascii="Times New Roman;Times;serif" w:hAnsi="Times New Roman;Times;serif"/>
          <w:b w:val="false"/>
          <w:i w:val="false"/>
          <w:caps w:val="false"/>
          <w:smallCaps w:val="false"/>
          <w:color w:val="000000"/>
          <w:spacing w:val="4"/>
          <w:sz w:val="20"/>
        </w:rPr>
        <w:t xml:space="preserve">, filed with the SEC on April 24, 2026, and for the three and six months ended June 30, 2026, filed with the SEC on </w:t>
      </w:r>
      <w:hyperlink r:id="rId16">
        <w:r>
          <w:rPr>
            <w:rStyle w:val="InternetLink"/>
          </w:rPr>
          <w:t>July </w:t>
        </w:r>
      </w:hyperlink>
      <w:hyperlink r:id="rId17">
        <w:r>
          <w:rPr>
            <w:rStyle w:val="InternetLink"/>
          </w:rPr>
          <w:t>24</w:t>
        </w:r>
      </w:hyperlink>
      <w:hyperlink r:id="rId18">
        <w:r>
          <w:rPr>
            <w:rStyle w:val="InternetLink"/>
          </w:rPr>
          <w:t>,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CCO Holdings’ Current Reports on Form 8-K filed with the SEC on January 6, 2026, </w:t>
      </w:r>
      <w:hyperlink r:id="rId19">
        <w:r>
          <w:rPr>
            <w:rStyle w:val="InternetLink"/>
          </w:rPr>
          <w:t>January 14, 2026</w:t>
        </w:r>
      </w:hyperlink>
      <w:r>
        <w:rPr>
          <w:rFonts w:ascii="Times New Roman;Times;serif" w:hAnsi="Times New Roman;Times;serif"/>
          <w:b w:val="false"/>
          <w:i w:val="false"/>
          <w:caps w:val="false"/>
          <w:smallCaps w:val="false"/>
          <w:color w:val="000000"/>
          <w:spacing w:val="4"/>
          <w:sz w:val="20"/>
        </w:rPr>
        <w:t xml:space="preserve">, </w:t>
      </w:r>
      <w:hyperlink r:id="rId20">
        <w:r>
          <w:rPr>
            <w:rStyle w:val="InternetLink"/>
          </w:rPr>
          <w:t>January 22, 2026</w:t>
        </w:r>
      </w:hyperlink>
      <w:r>
        <w:rPr>
          <w:rFonts w:ascii="Times New Roman;Times;serif" w:hAnsi="Times New Roman;Times;serif"/>
          <w:b w:val="false"/>
          <w:i w:val="false"/>
          <w:caps w:val="false"/>
          <w:smallCaps w:val="false"/>
          <w:color w:val="000000"/>
          <w:spacing w:val="4"/>
          <w:sz w:val="20"/>
        </w:rPr>
        <w:t xml:space="preserve">, </w:t>
      </w:r>
      <w:hyperlink r:id="rId21">
        <w:r>
          <w:rPr>
            <w:rStyle w:val="InternetLink"/>
          </w:rPr>
          <w:t>January 28, 2026</w:t>
        </w:r>
      </w:hyperlink>
      <w:r>
        <w:rPr>
          <w:rFonts w:ascii="Times New Roman;Times;serif" w:hAnsi="Times New Roman;Times;serif"/>
          <w:b w:val="false"/>
          <w:i w:val="false"/>
          <w:caps w:val="false"/>
          <w:smallCaps w:val="false"/>
          <w:color w:val="000000"/>
          <w:spacing w:val="4"/>
          <w:sz w:val="20"/>
        </w:rPr>
        <w:t xml:space="preserve">, </w:t>
      </w:r>
      <w:hyperlink r:id="rId22">
        <w:r>
          <w:rPr>
            <w:rStyle w:val="InternetLink"/>
          </w:rPr>
          <w:t>February 25, 2026</w:t>
        </w:r>
      </w:hyperlink>
      <w:r>
        <w:rPr>
          <w:rFonts w:ascii="Times New Roman;Times;serif" w:hAnsi="Times New Roman;Times;serif"/>
          <w:b w:val="false"/>
          <w:i w:val="false"/>
          <w:caps w:val="false"/>
          <w:smallCaps w:val="false"/>
          <w:color w:val="000000"/>
          <w:spacing w:val="4"/>
          <w:sz w:val="20"/>
        </w:rPr>
        <w:t xml:space="preserve">, </w:t>
      </w:r>
      <w:hyperlink r:id="rId23">
        <w:r>
          <w:rPr>
            <w:rStyle w:val="InternetLink"/>
          </w:rPr>
          <w:t>April 23, 2026</w:t>
        </w:r>
      </w:hyperlink>
      <w:r>
        <w:rPr>
          <w:rFonts w:ascii="Times New Roman;Times;serif" w:hAnsi="Times New Roman;Times;serif"/>
          <w:b w:val="false"/>
          <w:i w:val="false"/>
          <w:caps w:val="false"/>
          <w:smallCaps w:val="false"/>
          <w:color w:val="000000"/>
          <w:spacing w:val="4"/>
          <w:sz w:val="20"/>
        </w:rPr>
        <w:t xml:space="preserve">, </w:t>
      </w:r>
      <w:hyperlink r:id="rId24">
        <w:r>
          <w:rPr>
            <w:rStyle w:val="InternetLink"/>
          </w:rPr>
          <w:t>May 19, 2026</w:t>
        </w:r>
      </w:hyperlink>
      <w:r>
        <w:rPr>
          <w:rFonts w:ascii="Times New Roman;Times;serif" w:hAnsi="Times New Roman;Times;serif"/>
          <w:b w:val="false"/>
          <w:i w:val="false"/>
          <w:caps w:val="false"/>
          <w:smallCaps w:val="false"/>
          <w:color w:val="000000"/>
          <w:spacing w:val="4"/>
          <w:sz w:val="20"/>
        </w:rPr>
        <w:t xml:space="preserve"> and </w:t>
      </w:r>
      <w:hyperlink r:id="rId25">
        <w:r>
          <w:rPr>
            <w:rStyle w:val="InternetLink"/>
          </w:rPr>
          <w:t>July 23, 2026</w:t>
        </w:r>
      </w:hyperlink>
      <w:r>
        <w:rPr>
          <w:rFonts w:ascii="Times New Roman;Times;serif" w:hAnsi="Times New Roman;Times;serif"/>
          <w:b w:val="false"/>
          <w:i w:val="false"/>
          <w:caps w:val="false"/>
          <w:smallCaps w:val="false"/>
          <w:color w:val="000000"/>
          <w:spacing w:val="4"/>
          <w:sz w:val="20"/>
        </w:rPr>
        <w:t xml:space="preserve"> (in each case excluding any information furnished but not filed).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the above filings speaks only as of the respective dates thereof, or, where applicable, the dates identified therein. 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Charter’s and CCO Holdings’ filings with the SEC, including Annual Reports on Form 10-K, Quarterly Reports on Form 10-Q, Current Reports on Form 8-K and amendments to those reports, are available free of charge on our website at www.charter.com as soon as reasonably practicable after they are filed with, or furnished to, the SEC. Our website and the information contained on that site, or connected to that site, are not incorporated into and are not a part of this prospectus. You may also obtain a copy of these filings at no cost by writing or telephoning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Charter Communications,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400 Washington Blvd.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Stamford, Connecticut 06902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Investor Relations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Telephone: (203) 905-7801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ANYONE TO GIVE ANY INFORMATION OR MAKE ANY REPRESENTATION ABOUT THE OFFERING THAT IS DIFFERENT FROM, OR IN ADDITION TO, THAT CONTAINED IN THIS PROSPECTUS OR IN ANY OF THE MATERIALS THAT ARE INCORPORATED BY REFERENCE HEREIN. THEREFORE, IF ANYONE DOES GIVE YOU INFORMATION OF THIS SORT, YOU SHOULD NOT RELY ON IT. IF YOU ARE IN A JURISDICTION WHERE OFFERS TO EXCHANGE OR SELL, OR SOLICITATIONS OF OFFERS TO EXCHANGE OR PURCHASE, THE SECURITIES OFFERED BY THIS PROSPECTUS ARE UNLAWFUL, OR IF YOU ARE A PERSON TO WHOM IT IS UNLAWFUL TO DIRECT THESE TYPES OF ACTIVITIES, THEN THE OFFER PRESENTED IN THIS PROSPECTUS DOES NOT EXTEND TO YOU.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NOT ASSUME THAT THE INFORMATION CONTAINED IN THIS PROSPECTUS IS ACCURATE AS OF ANY DATE OTHER THAN THE DATE OF THIS PROSPECTUS AND NEITHER THE MAILING OF THIS PROSPECTUS NOR THE ISSUANCE OF THE DEBT SECURITIES PURSUANT TO THIS OFFERING SHALL CREATE AN IMPLICATION TO THE CONTRARY.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PRSU"/>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highlights information contained elsewhere or incorporated by reference in this prospectus. It does not contain all the information that may be important to you in making an investment decision. You should read this entire prospectus carefully, including the documents incorporated by reference, which are described under “Incorporation by Reference of Certain Documents” and “Where You Can Find Additional Information.” You should also carefully consider, among other things, the matters discussed in the section titled “Risk Factors.”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CCO Holdings and CCO Holdings Capital are direct and indirect subsidiaries, respectively, of CCH I Holdings, LLC, which is an indirect subsidiary of Charter. Charter and CCO Holdings are each holding companies with no operations of their own. CCO Holdings Capital is a company with no operations of its own and no subsidiaries. CCO and CCO Capital are direct, wholly owned subsidiaries of CCO Holdings. CCO is a holding company with no operations of its own. CCO Capital is a company with no operations of its own and no subsidiaries. CCO Holdings Capital and CCO Holdings and its direct and indirect subsidiaries, including CCO and its direct and indirect subsidiaries as well as CCO Capital, are managed by Charter. The additional Registrant Guarantors are direct and indirect subsidiaries of CCO.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Charter is a holding company whose principal asset is a controlling equity interest in Charter Communications Holdings, LLC and an indirect owner of CCO under which substantially all of the operations reside. Unless otherwise stated, the discussion in this prospectus of our business and operations includes the business of CCO Holdings and its direct and indirect subsidiaries. Unless otherwise stated, all business data included in this summary is as of June 30, 2026.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terms “we,” “us” and “our” in this description of our business refer to Charter and its direct and indirect subsidiaries on a consolidated basis.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Business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a leading broadband connectivity company with services available to nearly 59 million homes and small to large businesses across 41 states through our Spectrum</w:t>
      </w:r>
      <w:r>
        <w:rPr>
          <w:rFonts w:ascii="Times New Roman;Times;serif" w:hAnsi="Times New Roman;Times;serif"/>
          <w:b/>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brand. Founded in 1993, we have evolved from providing cable TV to streaming, and from high-speed Internet to a converged broadband, WiFi and mobile experience. Over the Spectrum Fiber Broadband Network and supported by our 100% U.S.-based employees, we offer Seamless Connectivity and Entertainment with Spectrum</w:t>
      </w:r>
      <w:r>
        <w:rPr>
          <w:rFonts w:ascii="Times New Roman;Times;serif" w:hAnsi="Times New Roman;Times;serif"/>
          <w:b/>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Internet, Mobile, TV and Voice products.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core strategy is to deliver great products, at a great value, while continuously improving service. We remain focused on improving customer results through the power of our advanced fiber-powered network and cutting-edge connectivity products and services, and our simplified pricing and packaging strategy that better utilizes our seamless connectivity and entertainment products to offer lower promotional and persistent bundled pricing to drive growth. Our Internet and mobile product bundles provide a differentiated connectivity experience by bringing together Spectrum Internet, Advanced WiFi and Spectrum Mobile to offer consumers fast, reliable and secure online connections on their favorite devices at home and on the go in high-value packages. We have completed deals with major programmers to deliver better flexibility and greater value to our customers by including seamless entertainment applications with certain of our Spectrum TV packages at no additional cost. We offer the sale of these seamless entertainment applications to customers on an à la carte basis, and through our digital storefront, the Spectrum App Store, customers can easily activate, upgrade, buy and manage their streaming applications in one place. We also continue to develop other elements of our video product and are deploying Xumo stream boxes to new video customers.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customer commitments focus on reliable connectivity, transparency, exceptional service and always improving. By continually improving our product set and offering consumers the opportunity to save money by switching to our services, we believe we can continue to penetrate our expanding footprint and sell additional products to our existing customers. We see operational benefits from the targeted investments we made in employee wages and benefits to build employee skill sets and tenure, as well as the continued investments in digitization of our customer service platforms, all with the goal of improving the customer experience, reducing transactions and driving customer growth and retention.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currently offer Spectrum Internet products with speeds up to 1 Gbps across our entire footprint and multi-gigabit data speeds in a portion of our footprint. Our network evolution initiative remains on track to deliver symmetrical and multi-gigabit speeds across our entire footprint with convergence everywhere we operate.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principal executive offices are located at 400 Washington Boulevard, Stamford, Connecticut 06902. Our telephone number at that location is (203) 905-7801, and we have a website accessible at ir.charter.com. Our periodic reports and Current Reports on Form 8-K, and all amendments thereto, are available on Charter’s website free of charge as soon as reasonably practicable after they have been filed with the SEC. The information posted on Charter’s website is not incorporated by reference in this prospectus and is not part of this prospectus.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RIFA"/>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consider carefully all of the information set forth in any accompanying prospectus supplement and the documents incorporated by reference herein, unless expressly provided otherwise, and, in particular, the risk factors described in Charter’s and CCO Holdings’ Annual Reports on </w:t>
      </w:r>
      <w:hyperlink r:id="rId26">
        <w:r>
          <w:rPr>
            <w:rStyle w:val="InternetLink"/>
          </w:rPr>
          <w:t>Form 10-K</w:t>
        </w:r>
      </w:hyperlink>
      <w:r>
        <w:rPr>
          <w:rFonts w:ascii="Times New Roman;Times;serif" w:hAnsi="Times New Roman;Times;serif"/>
          <w:b w:val="false"/>
          <w:i w:val="false"/>
          <w:caps w:val="false"/>
          <w:smallCaps w:val="false"/>
          <w:color w:val="000000"/>
          <w:spacing w:val="4"/>
          <w:sz w:val="20"/>
        </w:rPr>
        <w:t xml:space="preserve"> for the year ended December 31, 2025, and Quarterly Reports for the quarters ended </w:t>
      </w:r>
      <w:hyperlink r:id="rId27">
        <w:r>
          <w:rPr>
            <w:rStyle w:val="InternetLink"/>
          </w:rPr>
          <w:t>March 31, 2026</w:t>
        </w:r>
      </w:hyperlink>
      <w:r>
        <w:rPr>
          <w:rFonts w:ascii="Times New Roman;Times;serif" w:hAnsi="Times New Roman;Times;serif"/>
          <w:b w:val="false"/>
          <w:i w:val="false"/>
          <w:caps w:val="false"/>
          <w:smallCaps w:val="false"/>
          <w:color w:val="000000"/>
          <w:spacing w:val="4"/>
          <w:sz w:val="20"/>
        </w:rPr>
        <w:t xml:space="preserve"> and </w:t>
      </w:r>
      <w:hyperlink r:id="rId28">
        <w:r>
          <w:rPr>
            <w:rStyle w:val="InternetLink"/>
          </w:rPr>
          <w:t>June 30, 2026</w:t>
        </w:r>
      </w:hyperlink>
      <w:r>
        <w:rPr>
          <w:rFonts w:ascii="Times New Roman;Times;serif" w:hAnsi="Times New Roman;Times;serif"/>
          <w:b w:val="false"/>
          <w:i w:val="false"/>
          <w:caps w:val="false"/>
          <w:smallCaps w:val="false"/>
          <w:color w:val="000000"/>
          <w:spacing w:val="4"/>
          <w:sz w:val="20"/>
        </w:rPr>
        <w:t xml:space="preserve"> filed with the SEC and incorporated by reference in this prospectus. The risks described in any document incorporated by reference herein are not the only ones we face but are considered to be the most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UOP"/>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the sales of securities as set forth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POD"/>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offered securities: (a) through agents; (b) through underwriters or dealers; (c) directly to one or more purchasers; or (d) through a combination of any of these methods of sale. We will identify the specific plan of distribution, including any underwriters, dealers, agents or direct purchasers and their compensation in a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EX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CCO Holdings, LLC and subsidiaries as of December 31, 2025 and 2024, and for each of the years in the three-year period ended December 31, 2025, have been incorporated by reference herein in reliance upon the report of KPMG LLP, independent registered public accounting firm, appearing in the CCO Holdings, LLC Annual Report on </w:t>
      </w:r>
      <w:hyperlink r:id="rId29">
        <w:r>
          <w:rPr>
            <w:rStyle w:val="InternetLink"/>
          </w:rPr>
          <w:t>Form 10-K</w:t>
        </w:r>
      </w:hyperlink>
      <w:r>
        <w:rPr>
          <w:rFonts w:ascii="Times New Roman;Times;serif" w:hAnsi="Times New Roman;Times;serif"/>
          <w:b w:val="false"/>
          <w:i w:val="false"/>
          <w:caps w:val="false"/>
          <w:smallCaps w:val="false"/>
          <w:color w:val="000000"/>
          <w:spacing w:val="4"/>
          <w:sz w:val="20"/>
        </w:rPr>
        <w:t xml:space="preserve"> filed with the SEC on January 30, 2026, incorporated by reference herein, and upon the authority of said firm as experts in accounting and auditing.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Charter Communications, Inc. and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 of KPMG LLP, an independent registered public accounting firm, appearing in the Charter Communications, Inc. Annual Report on </w:t>
      </w:r>
      <w:hyperlink r:id="rId30">
        <w:r>
          <w:rPr>
            <w:rStyle w:val="InternetLink"/>
          </w:rPr>
          <w:t>Form 10-K</w:t>
        </w:r>
      </w:hyperlink>
      <w:r>
        <w:rPr>
          <w:rFonts w:ascii="Times New Roman;Times;serif" w:hAnsi="Times New Roman;Times;serif"/>
          <w:b w:val="false"/>
          <w:i w:val="false"/>
          <w:caps w:val="false"/>
          <w:smallCaps w:val="false"/>
          <w:color w:val="000000"/>
          <w:spacing w:val="4"/>
          <w:sz w:val="20"/>
        </w:rPr>
        <w:t xml:space="preserve"> filed with the SEC on January 30, 2026, incorporated by reference herein, and upon the authority of said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LEMA"/>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Kirkland &amp; Ellis LLP, New York, New York, will pass upon the validity of the securities offered in this offering.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PART 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costs and expenses payable in connection with the sale and distribution of the securities being registered. All amounts except the SEC registration fee are estimated. </w:t>
      </w:r>
    </w:p>
    <w:tbl>
      <w:tblPr>
        <w:tblW w:w="4821" w:type="dxa"/>
        <w:jc w:val="left"/>
        <w:tblInd w:w="1393" w:type="dxa"/>
        <w:tblLayout w:type="fixed"/>
        <w:tblCellMar>
          <w:top w:w="0" w:type="dxa"/>
          <w:left w:w="0" w:type="dxa"/>
          <w:bottom w:w="0" w:type="dxa"/>
          <w:right w:w="0" w:type="dxa"/>
        </w:tblCellMar>
      </w:tblPr>
      <w:tblGrid>
        <w:gridCol w:w="124"/>
        <w:gridCol w:w="3115"/>
        <w:gridCol w:w="109"/>
        <w:gridCol w:w="109"/>
        <w:gridCol w:w="109"/>
        <w:gridCol w:w="226"/>
        <w:gridCol w:w="76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3115"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766" w:type="dxa"/>
            <w:tcBorders/>
            <w:shd w:fill="CCEEFF" w:val="clear"/>
            <w:vAlign w:val="center"/>
          </w:tcPr>
          <w:p>
            <w:pPr>
              <w:pStyle w:val="TableContents"/>
              <w:bidi w:val="0"/>
              <w:spacing w:before="0" w:after="283"/>
              <w:jc w:val="right"/>
              <w:rPr/>
            </w:pPr>
            <w:r>
              <w:rPr/>
              <w:t>    </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15" w:type="dxa"/>
            <w:tcBorders/>
            <w:vAlign w:val="center"/>
          </w:tcPr>
          <w:p>
            <w:pPr>
              <w:pStyle w:val="TableContents"/>
              <w:bidi w:val="0"/>
              <w:spacing w:before="0" w:after="0"/>
              <w:jc w:val="left"/>
              <w:rPr>
                <w:spacing w:val="4"/>
              </w:rPr>
            </w:pPr>
            <w:r>
              <w:rPr>
                <w:spacing w:val="4"/>
              </w:rPr>
              <w:t xml:space="preserve">Accounting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115" w:type="dxa"/>
            <w:tcBorders/>
            <w:shd w:fill="CCEEFF" w:val="clear"/>
            <w:vAlign w:val="center"/>
          </w:tcPr>
          <w:p>
            <w:pPr>
              <w:pStyle w:val="TableContents"/>
              <w:bidi w:val="0"/>
              <w:spacing w:before="0" w:after="0"/>
              <w:jc w:val="left"/>
              <w:rPr>
                <w:spacing w:val="4"/>
              </w:rPr>
            </w:pPr>
            <w:r>
              <w:rPr>
                <w:spacing w:val="4"/>
              </w:rPr>
              <w:t xml:space="preserve">Legal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76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15" w:type="dxa"/>
            <w:tcBorders/>
            <w:vAlign w:val="center"/>
          </w:tcPr>
          <w:p>
            <w:pPr>
              <w:pStyle w:val="TableContents"/>
              <w:bidi w:val="0"/>
              <w:spacing w:before="0" w:after="0"/>
              <w:jc w:val="left"/>
              <w:rPr>
                <w:spacing w:val="4"/>
              </w:rPr>
            </w:pPr>
            <w:r>
              <w:rPr>
                <w:spacing w:val="4"/>
              </w:rPr>
              <w:t xml:space="preserve">Printing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76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115" w:type="dxa"/>
            <w:tcBorders/>
            <w:shd w:fill="CCEEFF" w:val="cle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76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Rule 456(b) and 457(r), we are deferring payment of the registration fee. </w:t>
      </w:r>
      <w:r>
        <mc:AlternateContent>
          <mc:Choice Requires="wps">
            <w:drawing>
              <wp:anchor behindDoc="0" distT="9906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Estimated expenses are not presently known. The foregoing sets forth the general categories of expenses (other than underwriting discounts and commissions) that we anticipate we will incur in connection with the offering of securities under this registration statement on Form S-3. An estimate of the aggregate expenses in connection with the issuance and distribution of the securities being offered will be included in the applicable prospectus supplement. </w:t>
      </w:r>
      <w:r>
        <mc:AlternateContent>
          <mc:Choice Requires="wps">
            <w:drawing>
              <wp:anchor behindDoc="0" distT="4826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Charter Communications, Inc., Charter Communications Operating, LLC, Charter Communications Operating Capital Corp., CCO Holdings, LLC, CCO Holdings Capital Corp., BHN IP Enabled Services, LLC, Bresnan Broadband Holdings, LLC, Bresnan Digital Services, LLC, Bright House Networks Information Services (Alabama), LLC, Bright House Networks Information Services (California), LLC, Bright House Networks Information Services (Florida), LLC, Bright House Networks Information Services (Indiana), LLC, Bright House Networks Information Services (Michigan), LLC, CC Fiberlink, LLC, CC VI Fiberlink, LLC, CC VII Fiberlink, LLC, CCO Fiberlink, LLC, CCO NR Holdings, LLC, Charter Communications ASC, LLC, Charter Communications SSC, LLC, Charter Communications, LLC, Charter Communications VI, L.L.C., Charter Communications VI HoldCo, LLC, Charter Distribution, LLC, Charter Fiberlink — Alabama, LLC, Charter Fiberlink — Georgia, LLC, Charter Fiberlink — Illinois, LLC, Charter Fiberlink — Maryland II, LLC, Charter Fiberlink — Michigan, LLC, Charter Fiberlink —  Missouri, LLC, Charter Fiberlink — Nebraska, LLC, Charter Fiberlink — Tennessee, LLC, Charter Fiberlink CA-CCO, LLC, Charter Fiberlink CC VIII, LLC, Charter Fiberlink CCO, LLC, Charter Fiberlink CT-CCO, LLC, Charter Fiberlink LA-CCO, LLC, Charter Fiberlink MA-CCO, LLC, Charter Fiberlink MS-CCVI, LLC, Charter Fiberlink NC-CCO, LLC, Charter Fiberlink NH-CCO, LLC, Charter Fiberlink NV-CCVII, LLC, Charter Fiberlink NY-CCO, LLC, Charter Fiberlink OR-CCVII, LLC, Charter Fiberlink SC-CCO, LLC, Charter Fiberlink TX-CCO, LLC, Charter Fiberlink VA-CCO, LLC, Charter Fiberlink VT-CCO, LLC, Charter Fiberlink WA-CCVII, LLC, Charter IP Enabled Services, LLC, Charter Leasing Holding Company, LLC, Charter Procurement Leasing, LLC, DukeNet Communications, LLC, Innovar Media LLC, Spectrum Advanced Services, LLC, Spectrum Fiberlink Florida, LLC, Spectrum Gulf Coast, LLC, Spectrum Mid-America, LLC, Spectrum Mobile Equipment, LLC, Spectrum Mobile, LLC, Spectrum New York Metro, LLC, Spectrum NLP, LLC, Spectrum Northeast, LLC, Spectrum Oceanic, LLC, Spectrum Originals Development, LLC, Spectrum Originals, LLC, Spectrum Pacific West, LLC, Spectrum Reach, LLC, Spectrum RSN, LLC, Spectrum SN, LLC, Spectrum Southeast, LLC, Spectrum SportsNet LLC, Spectrum Sunshine State, LLC, Spectrum TV Essentials, LLC, Spectrum Wireless Holdings, LLC, Time Warner Cable Business LLC, Time Warner Cable Enterprises LLC, Time Warner Cable Information Services (Alabama), LLC, Time Warner Cable Information Services (Arizona), LLC, Time Warner Cable Information Services (California), LLC, Time Warner Cable Information Services (Colorado), LLC, Time Warner Cable Information Services (Hawaii), LLC, Time Warner Cable Information Services (Idaho), LLC, Time Warner Cable Information Services (Illinois), LLC, Time Warner Cable Information Services (Indiana), LLC, Time Warner Cable Information Services (Kansas), LLC, Time Warner Cable Information Services (Kentucky), LLC, Time Warner Cable Information Services (Maine), LLC, Time Warner 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Services (Massachusetts), LLC, Time Warner Cable Information Services (Michigan), LLC, Time Warner Cable Information Services (Missouri), LLC, Time Warner Cable Information Services (Nebraska), LLC, Time Warner Cable Information Services (New Hampshire), LLC, Time Warner Cable Information Services (New Jersey), LLC, Time Warner Cable Information Services (New Mexico), LLC, Time Warner Cable Information Services (New York), LLC, Time Warner Cable Information Services (North Carolina), LLC, Time Warner Cable Information Services (Ohio), LLC, Time Warner Cable Information Services (Pennsylvania), LLC, Time Warner Cable Information Services (South Carolina), LLC, Time Warner Cable Information Services (Tennessee), LLC, Time Warner Cable Information Services (Texas), LLC, Time Warner Cable Information Services (Virginia), LLC, Time Warner Cable Information Services (Washington), LLC, Time Warner Cable Information Services (West Virginia), LLC, Time Warner Cable Information Services (Wisconsin), LLC, Time Warner Cable, LLC, TWC Administration LLC, TWC Communications, LLC, TWC IP Enabled Services, LLC, TWC SEE Holdco LLC, TWCIS Holdco LLC and Visual Advertising Sales Technology, LLC, is formed or incorporated under the laws of the State of Delaware. Bresnan Broadband of Colorado, LLC is formed under the laws of the State of Colorado. Bresnan Broadband of Montana, LLC is formed under the laws of the State of Montana. Bresnan Broadband of Wyoming, LLC is formed under the laws of the State of Wyoming.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Delaware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Limited Liability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18-108 of the Delaware Limited Liability Company Act authorizes a limited liability company to indemnify and hold harmless any member or manager or other person from and against any and all claims and demands whatsoever, subject to such standards and restrictions, if any, as are set forth in its limited liability company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limited liability company agreements of Charter Communications Operating, LLC, CCO Holdings, LLC, BNH IP Enabled Services, LLC, Bresnan Broadband Holdings, LLC, Bresnan Digital Services, LLC, Bright House Networks Information Services (Alabama), LLC, Bright House Networks Information Services (California), LLC, Bright House Networks Information Services (Florida), LLC, Bright House Networks Information Services (Indiana), LLC, Bright House Networks Information Services (Michigan), LLC, CC Fiberlink, LLC, CC VI Fiberlink, LLC, CC VII Fiberlink, LLC, CCO Fiberlink, LLC, CCO NR Holdings, LLC, Charter Communications ASC, LLC, Charter Communications SSC, LLC, Charter Communications, LLC, Charter Communications VI, L.L.C., Charter Communications VI HoldCo, LLC, Charter Distribution, LLC, Charter Fiberlink — Alabama, LLC, Charter Fiberlink — Georgia, LLC, Charter Fiberlink — Illinois, LLC, Charter Fiberlink — Maryland II, LLC, Charter Fiberlink — Michigan, LLC, Charter Fiberlink — Missouri, LLC, Charter Fiberlink — Nebraska, LLC, Charter Fiberlink —  Tennessee, LLC, Charter Fiberlink CA-CCO, LLC, Charter Fiberlink CC VIII, LLC, Charter Fiberlink CCO, LLC, Charter Fiberlink CT-CCO, LLC, Charter Fiberlink LA-CCO, LLC, Charter Fiberlink MA-CCO, LLC, Charter Fiberlink MS-CCVI, LLC, Charter Fiberlink NC-CCO, LLC, Charter Fiberlink NH-CCO, LLC, Charter Fiberlink NV-CCVII, LLC, Charter Fiberlink NY-CCO, LLC, Charter Fiberlink OR-CCVII, LLC, Charter Fiberlink SC-CCO, LLC, Charter Fiberlink TX-CCO, LLC, Charter Fiberlink VA-CCO, LLC, Charter Fiberlink VT-CCO, LLC, Charter Fiberlink WA-CCVII, LLC, Charter IP Enabled Services, LLC, Charter Leasing Holding Company, LLC, Charter Procurement Leasing, LLC, DukeNet Communications, LLC, Innovar Media LLC, Spectrum Advanced Services, LLC, Spectrum Fiberlink Florida, LLC, Spectrum Gulf Coast, LLC, Spectrum Mid-America, LLC, Spectrum Mobile Equipment, LLC, Spectrum Mobile, LLC, Spectrum New York Metro, LLC, Spectrum NLP, LLC, Spectrum Northeast, LLC, Spectrum Oceanic, LLC, Spectrum Originals Development, LLC, Spectrum Originals, LLC, Spectrum Pacific West, LLC, Spectrum Reach, LLC, Spectrum RSN, LLC, Spectrum SN, LLC, Spectrum Southeast, LLC, Spectrum SportsNet LLC, Spectrum Sunshine State, LLC, Spectrum TV Essentials, LLC, Spectrum Wireless Holdings, LLC, Time Warner Cable Business LLC, Time Warner Cable Enterprises LLC, Time Warner Cable Information Services (Alabama), LLC, Time Warner Cable Information Services (Arizona), LLC, Time Warner Cable Information Services (California), LLC, Time Warner Cable Information Services (Colorado), LLC, Time Warner Cable Information Services (Hawaii), LLC, Time Warner Cable Information Services (Idaho), LLC, Time Warner Cable Information Services (Illinois), LLC, Time Warner Cable Information Services (Indiana), LLC, Time Warner Cable Information Services (Kansas), LLC, Time Warner Cable Information Services (Kentucky), LLC, Time Warner Cable Information Services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(Maine), LLC, Time Warner Cable Information Services (Massachusetts), LLC, Time Warner Cable Information Services (Michigan), LLC, Time Warner Cable Information Services (Missouri), LLC, Time Warner Cable Information Services (Nebraska), LLC, Time Warner Cable Information Services (New Hampshire), LLC, Time Warner Cable Information Services (New Jersey), LLC, Time Warner Cable Information Services (New Mexico), LLC, Time Warner Cable Information Services (New York), LLC, Time Warner Cable Information Services (North Carolina), LLC, Time Warner Cable Information Services (Ohio), LLC, Time Warner Cable Information Services (Pennsylvania), LLC, Time Warner Cable Information Services (South Carolina), LLC, Time Warner Cable Information Services (Tennessee), LLC, Time Warner Cable Information Services (Texas), LLC, Time Warner Cable Information Services (Virginia), LLC, Time Warner Cable Information Services (Washington), LLC, Time Warner Cable Information Services (West Virginia), LLC, Time Warner Cable Information Services (Wisconsin), LLC, Time Warner Cable, LLC, TWC Administration LLC, TWC Communications, LLC, TWC IP Enabled Services, LLC, TWC SEE Holdco LLC, TWCIS Holdco LLC and Visual Advertising Sales Technology, LLC (each, an “LLC”) provide that a member, a manager, a director, any officer, their respective affiliates or any person who at any time serves or has served as a director, officer, employee or other agent of any member or any such affiliate, and who, in such capacity, engages or has engaged in activities on behalf of the applicable LLC, shall be indemnified and held harmless by such LLC to the fullest extent permitted by law from and against any losses, damages, expenses, including attorneys’ fees, judgments and amounts paid in settlement actually and reasonably incurred by or in connection with any claim, action, suit or proceeding to which such indemnifiable person is or was a party or is threatened to be made a party by reason of the fact that such person is or was engaged in activities on behalf of such LLC. Notwithstanding the foregoing, no indemnification is available under the limited liability company agreement of any of the LLCs in respect of any such claim adjudged to be primarily the result of bad faith, willful misconduct or fraud of an indemnifiable person. Any act or omission by an indemnifiable person done in reliance upon the opinion of independent legal counsel or public accountants selected with reasonable care shall not constitute bad faith, willful misconduct, or fraud on the part of such indemnifiable person. Payment of these indemnification obligations shall be made from the assets of the applicable LLC and the members shall not be personally liable to an indemnifiable person for payment of indemnification.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Corporations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Delaware General Corporation Law authorizes a corporation to indemnify any person who was or is a party, or is threatened to be made a party, to any threatened, pending or completed action, suit or proceeding, whether civil, criminal, administrative or investigative,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In addition, the Delaware General Corporation Law does not permit indemnification in any threatened, pending or completed action or suit by or in the right of the corporation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such court shall deem proper. To the extent that a present or former director or officer of a corporation has been successful on the merits or otherwise in defense of any action, suit or proceeding referred to above, or in defense of any claim, issue or matter, such person shall be indemnified against expenses, including attorneys’ fees, actually and reasonably incurred by such person. Indemnity is mandatory to the extent a claim, issue or matter has been successfully defended. The Delaware General Corporation Law also allows a corporation to provide for the elimination or limitation of the personal liability of a director or officer to the corporation or its stockholders for monetary damages for breach of fiduciary duty as a director or officer, provided that such provision shall not eliminate or limit the liability of: </w:t>
      </w:r>
    </w:p>
    <w:p>
      <w:pPr>
        <w:pStyle w:val="TextBody"/>
        <w:bidi w:val="0"/>
        <w:spacing w:lineRule="atLeast" w:line="240" w:before="15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director or officer for any breach of the director’s or officer’s duty of loyalty to the corporation or its stockholders, </w:t>
      </w:r>
      <w:r>
        <mc:AlternateContent>
          <mc:Choice Requires="wps">
            <w:drawing>
              <wp:anchor behindDoc="0" distT="9652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6pt;mso-wrap-distance-bottom:0pt;margin-top:7.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director or officer for acts or omissions not in good faith or which involve intentional misconduct or a knowing violation of law, </w:t>
      </w:r>
      <w:r>
        <mc:AlternateContent>
          <mc:Choice Requires="wps">
            <w:drawing>
              <wp:anchor behindDoc="0" distT="0" distB="0" distL="254000" distR="0" simplePos="0" locked="0" layoutInCell="1" allowOverlap="1" relativeHeight="52">
                <wp:simplePos x="0" y="0"/>
                <wp:positionH relativeFrom="column">
                  <wp:align>left</wp:align>
                </wp:positionH>
                <wp:positionV relativeFrom="line">
                  <wp:posOffset>635</wp:posOffset>
                </wp:positionV>
                <wp:extent cx="254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director under Section 174 of the Delaware General Corporation Law, </w:t>
      </w:r>
      <w:r>
        <mc:AlternateContent>
          <mc:Choice Requires="wps">
            <w:drawing>
              <wp:anchor behindDoc="0" distT="105410" distB="0" distL="254000" distR="0" simplePos="0" locked="0" layoutInCell="1" allowOverlap="1" relativeHeight="53">
                <wp:simplePos x="0" y="0"/>
                <wp:positionH relativeFrom="column">
                  <wp:align>left</wp:align>
                </wp:positionH>
                <wp:positionV relativeFrom="line">
                  <wp:align>top</wp:align>
                </wp:positionV>
                <wp:extent cx="254000" cy="525780"/>
                <wp:effectExtent l="0" t="0" r="0" b="0"/>
                <wp:wrapSquare wrapText="right"/>
                <wp:docPr id="33" name="Frame3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director or officer for any transaction from which the director or officer derived an improper personal benefit, or </w:t>
      </w:r>
      <w:r>
        <mc:AlternateContent>
          <mc:Choice Requires="wps">
            <w:drawing>
              <wp:anchor behindDoc="0" distT="105410" distB="0" distL="254000" distR="0" simplePos="0" locked="0" layoutInCell="1" allowOverlap="1" relativeHeight="54">
                <wp:simplePos x="0" y="0"/>
                <wp:positionH relativeFrom="column">
                  <wp:align>left</wp:align>
                </wp:positionH>
                <wp:positionV relativeFrom="line">
                  <wp:align>top</wp:align>
                </wp:positionV>
                <wp:extent cx="254000" cy="525780"/>
                <wp:effectExtent l="0" t="0" r="0" b="0"/>
                <wp:wrapSquare wrapText="right"/>
                <wp:docPr id="34" name="Frame3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officer in any action by or in the right of the corporation. These provisions will not limit the liability of directors or officers under the federal securities laws of the United States. </w:t>
      </w:r>
      <w:r>
        <mc:AlternateContent>
          <mc:Choice Requires="wps">
            <w:drawing>
              <wp:anchor behindDoc="0" distT="105410" distB="0" distL="25400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bylaws of each of Charter, CCO Holdings Capital and CCO Capital (each a “corporation”) require the applicable corporation, to the fullest extent authorized by the Delaware General Corporation Law, to indemnify any person who was or is made a party or is threatened to be made a party or is otherwise involved in any action, suit or proceeding by reason of the fact that he or she is or was a director or officer of such corporation or is or was serving at the request of such corporation as a director, officer, employee or agent of another corporation, partnership, joint venture, trust, employee benefit plan or other entity or enterprise, in each case, against all expense, liability and loss (including attorneys’ fees, judgments, fines, ERISA excise taxes or penalties and amounts paid in settlement) reasonably incurred or suffered by such person in connection therewith.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Charter has entered into indemnification agreements that require it to indemnify each of its directors and officers to the fullest extent permitted by law for any claims made against each of these persons because he or she is, was or may be deemed to be a stockholder, director, officer, employee, controlling person, agent or fiduciary of Charter or any of its subsidiaries. Charter is obligated to pay the expenses of these persons in connection with any claims that are subject to the applicable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Colorado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7-80-104(1)(k) of the Colorado Limited Liability Company Act permits a company to indemnify a member or manager or former member or manager of the limited liability company as provided in Section 7-80-407. Under Section 7-80-407, a limited liability company shall reimburse a member or manager for payments made, and indemnify a member or manager for liabilities incurred by the member or manager, in the ordinary conduct of the business of the limited liability company or for the preservation of its business or property if such payments were made or liabilities incurred without violation of the member’s or manager’s duties to the limited liability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Limited Liability Company Agreement of Bresnan Broadband of Colorado, LLC provides for the indemnification of officers and directors to the fullest extent permitted by Colorado law.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Montana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38-8-504 of the Montana Limited Liability Company Act states that a limited liability company shall reimburse a member or manager for payments made and indemnify a member or manager for liabilities incurred by the member or manager in the ordinary course of the business of the company or for the preservation of its business or property.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Limited Liability Company Agreement of Bresnan Broadband of Montana, LLC provides for the indemnification of officers and directors to the fullest extent permitted by Montana law.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Wyoming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17-29-408 of the Wyoming Limited Liability Company Act permits a Wyoming limited liability company to indemnify any member of a member-manager company or any manager of a manager-managed company for any debt, obligation or other liability incurred by such member or manager in the course of the member’s or manager’s activities on behalf of the Wyoming limited liability company, if in making the payment or incurring the debt, obligation or other liability, the member or manager was acting within the scope of his or her duties.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Limited Liability Company Agreement of Bresnan Broadband of Wyoming, LLC provides for the indemnification of officers and directors to the fullest extent permitted by Wyoming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21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Exhibits</w:t>
      </w:r>
      <w:r>
        <w:rPr>
          <w:rFonts w:ascii="Times New Roman;Times;serif" w:hAnsi="Times New Roman;Times;serif"/>
          <w:b/>
          <w:i/>
          <w:caps w:val="false"/>
          <w:smallCaps w:val="false"/>
          <w:color w:val="000000"/>
          <w:spacing w:val="4"/>
          <w:sz w:val="20"/>
        </w:rPr>
        <w:t xml:space="preserve"> </w:t>
      </w:r>
      <w:r>
        <mc:AlternateContent>
          <mc:Choice Requires="wps">
            <w:drawing>
              <wp:anchor behindDoc="0" distT="152400" distB="0" distL="25400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i/>
                              </w:rPr>
                            </w:pPr>
                            <w:r>
                              <w:rPr>
                                <w:b/>
                                <w:i/>
                                <w:spacing w:val="-4"/>
                              </w:rPr>
                              <w:t>(a)</w:t>
                            </w:r>
                            <w:r>
                              <w:rPr>
                                <w:b/>
                                <w:i/>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bidi w:val="0"/>
                        <w:spacing w:lineRule="atLeast" w:line="240" w:before="0" w:after="283"/>
                        <w:jc w:val="left"/>
                        <w:rPr>
                          <w:b/>
                          <w:i/>
                        </w:rPr>
                      </w:pPr>
                      <w:r>
                        <w:rPr>
                          <w:b/>
                          <w:i/>
                          <w:spacing w:val="-4"/>
                        </w:rPr>
                        <w:t>(a)</w:t>
                      </w:r>
                      <w:r>
                        <w:rPr>
                          <w:b/>
                          <w:i/>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exhibit index attached hereto is incorporated herein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101600" distB="0" distL="25400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99060" distB="0" distL="50800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w:t>
      </w:r>
      <w:r>
        <mc:AlternateContent>
          <mc:Choice Requires="wps">
            <w:drawing>
              <wp:anchor behindDoc="0" distT="99060" distB="0" distL="76200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 </w:t>
      </w:r>
      <w:r>
        <mc:AlternateContent>
          <mc:Choice Requires="wps">
            <w:drawing>
              <wp:anchor behindDoc="0" distT="99060" distB="0" distL="76200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99060" distB="0" distL="762000" distR="0" simplePos="0" locked="0" layoutInCell="1" allowOverlap="1" relativeHeight="61">
                <wp:simplePos x="0" y="0"/>
                <wp:positionH relativeFrom="column">
                  <wp:align>left</wp:align>
                </wp:positionH>
                <wp:positionV relativeFrom="line">
                  <wp:align>top</wp:align>
                </wp:positionV>
                <wp:extent cx="254000" cy="525780"/>
                <wp:effectExtent l="0" t="0" r="0" b="0"/>
                <wp:wrapSquare wrapText="right"/>
                <wp:docPr id="41" name="Frame4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however, that paragraphs (a)(1)(i), (a)(1)(ii) and (a)(1)(iii)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mc:AlternateContent>
          <mc:Choice Requires="wps">
            <w:drawing>
              <wp:anchor behindDoc="0" distT="99060" distB="0" distL="508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and </w:t>
      </w:r>
      <w:r>
        <mc:AlternateContent>
          <mc:Choice Requires="wps">
            <w:drawing>
              <wp:anchor behindDoc="0" distT="100330" distB="0" distL="508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to any purchaser: </w:t>
      </w:r>
      <w:r>
        <mc:AlternateContent>
          <mc:Choice Requires="wps">
            <w:drawing>
              <wp:anchor behindDoc="0" distT="100330" distB="0" distL="50800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the registrant pursuant to Rule 424(b)(3) shall be deemed to be part of the registration statement as of the date the filed prospectus was deemed part of and included in the registration statement; and </w:t>
      </w:r>
      <w:r>
        <mc:AlternateContent>
          <mc:Choice Requires="wps">
            <w:drawing>
              <wp:anchor behindDoc="0" distT="99060" distB="0" distL="76200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w:t>
      </w:r>
      <w:r>
        <mc:AlternateContent>
          <mc:Choice Requires="wps">
            <w:drawing>
              <wp:anchor behindDoc="0" distT="99060" distB="0" distL="76200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r>
        <mc:AlternateContent>
          <mc:Choice Requires="wps">
            <w:drawing>
              <wp:anchor behindDoc="0" distT="101600" distB="0" distL="50800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101600" distB="0" distL="76200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101600" distB="0" distL="76200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101600" distB="0" distL="762000" distR="0" simplePos="0" locked="0" layoutInCell="1" allowOverlap="1" relativeHeight="70">
                <wp:simplePos x="0" y="0"/>
                <wp:positionH relativeFrom="column">
                  <wp:align>left</wp:align>
                </wp:positionH>
                <wp:positionV relativeFrom="line">
                  <wp:align>top</wp:align>
                </wp:positionV>
                <wp:extent cx="254000" cy="525780"/>
                <wp:effectExtent l="0" t="0" r="0" b="0"/>
                <wp:wrapSquare wrapText="right"/>
                <wp:docPr id="50" name="Frame5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101600" distB="0" distL="762000" distR="0" simplePos="0" locked="0" layoutInCell="1" allowOverlap="1" relativeHeight="71">
                <wp:simplePos x="0" y="0"/>
                <wp:positionH relativeFrom="column">
                  <wp:align>left</wp:align>
                </wp:positionH>
                <wp:positionV relativeFrom="line">
                  <wp:align>top</wp:align>
                </wp:positionV>
                <wp:extent cx="254000" cy="525780"/>
                <wp:effectExtent l="0" t="0" r="0" b="0"/>
                <wp:wrapSquare wrapText="right"/>
                <wp:docPr id="51" name="Frame5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8pt;mso-wrap-distance-bottom:0pt;margin-top: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mc:AlternateContent>
          <mc:Choice Requires="wps">
            <w:drawing>
              <wp:anchor behindDoc="0" distT="101600" distB="0" distL="25400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directors, officers, and controlling persons of the registrants pursuant to the foregoing provisions, or otherwise, the registrants have been advised that in the opinion of the SEC, such indemnification is against public policy as expressed in the Securities Act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them is against public policy as expressed in the Securities Act and will be governed by the final adjudication of such issue. </w:t>
      </w:r>
      <w:r>
        <mc:AlternateContent>
          <mc:Choice Requires="wps">
            <w:drawing>
              <wp:anchor behindDoc="0" distT="101600" distB="0" distL="25400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pacing w:val="4"/>
            <w:sz w:val="16"/>
            <w:u w:val="none"/>
            <w:effect w:val="none"/>
          </w:rPr>
          <w:t>TABLE OF CONTENTS</w:t>
        </w:r>
      </w:hyperlink>
      <w:r>
        <w:rPr>
          <w:rFonts w:ascii="calibri;arial;sans-serif" w:hAnsi="calibri;arial;sans-serif"/>
          <w:b w:val="false"/>
          <w:i w:val="false"/>
          <w:caps w:val="false"/>
          <w:smallCaps w:val="false"/>
          <w:color w:val="000000"/>
          <w:spacing w:val="4"/>
          <w:sz w:val="16"/>
        </w:rPr>
        <w:t xml:space="preserve"> </w:t>
      </w:r>
    </w:p>
    <w:p>
      <w:pPr>
        <w:pStyle w:val="TextBody"/>
        <w:bidi w:val="0"/>
        <w:spacing w:lineRule="atLeast" w:line="240" w:before="340" w:after="283"/>
        <w:ind w:left="1393" w:right="0" w:hanging="0"/>
        <w:jc w:val="left"/>
        <w:rPr>
          <w:caps w:val="false"/>
          <w:smallCaps w:val="false"/>
          <w:color w:val="000000"/>
          <w:spacing w:val="4"/>
        </w:rPr>
      </w:pPr>
      <w:r>
        <w:rPr>
          <w:caps w:val="false"/>
          <w:smallCaps w:val="false"/>
          <w:color w:val="000000"/>
          <w:spacing w:val="4"/>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INDEX TO EXHIBITS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789"/>
        <w:gridCol w:w="109"/>
        <w:gridCol w:w="109"/>
        <w:gridCol w:w="7526"/>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8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2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100" w:right="0" w:hanging="0"/>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100" w:right="0" w:hanging="0"/>
              <w:jc w:val="left"/>
              <w:rPr>
                <w:spacing w:val="4"/>
              </w:rPr>
            </w:pPr>
            <w:r>
              <w:rPr>
                <w:spacing w:val="4"/>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31">
              <w:r>
                <w:rPr>
                  <w:rStyle w:val="InternetLink"/>
                </w:rPr>
                <w:t>Agreement and Plan of Merger, dated as of November 12, 2024, by and among Charter Communications, Inc., Liberty Broadband Corporation, Fusion Merger Sub 1, LLC and Fusion Merger Sub 2, Inc. (incorporated by reference to Exhibit 2.1 to the Current Report on Form 8-K filed by Charter Communications, Inc. on November 13, 2024 (File No. 001-33664)).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100" w:right="0" w:hanging="0"/>
              <w:jc w:val="left"/>
              <w:rPr>
                <w:spacing w:val="4"/>
              </w:rPr>
            </w:pPr>
            <w:r>
              <w:rPr>
                <w:spacing w:val="4"/>
              </w:rPr>
              <w:t xml:space="preserve">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32">
              <w:r>
                <w:rPr>
                  <w:rStyle w:val="InternetLink"/>
                </w:rPr>
                <w:t>Transaction Agreement, dated as of May 16, 2025, by and among Charter Communications, Inc., Charter Communications Holdings, LLC and Cox Enterprises, Inc. (incorporated by reference to Exhibit 2.1 to the Current Report on Form 8-K filed by Charter Communications, Inc. on May 19, 2025 (File No. 001-33664)).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100" w:right="0" w:hanging="0"/>
              <w:jc w:val="left"/>
              <w:rPr>
                <w:spacing w:val="4"/>
              </w:rPr>
            </w:pPr>
            <w:r>
              <w:rPr>
                <w:spacing w:val="4"/>
              </w:rPr>
              <w:t xml:space="preserve">4.1(a)*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r>
              <w:fldChar w:fldCharType="begin"/>
            </w:r>
            <w:r>
              <w:rPr>
                <w:rStyle w:val="InternetLink"/>
              </w:rPr>
              <w:instrText xml:space="preserve"> HYPERLINK "http://www.sec.gov/Archives/edgar/data/1350366/000119312515235720/d933267ds4.htm" \l "toc933267_97"</w:instrText>
            </w:r>
            <w:r>
              <w:rPr>
                <w:rStyle w:val="InternetLink"/>
              </w:rPr>
              <w:fldChar w:fldCharType="separate"/>
            </w:r>
            <w:r>
              <w:rPr>
                <w:rStyle w:val="InternetLink"/>
              </w:rPr>
              <w:t>Second Amended and Restated Stockholders Agreement, dated May 23, 2015, by and among Charter Communications, Inc., CCH I, LLC, Liberty Broadband Corporation and Advance/​Newhouse Partnership (incorporated by reference to Annex C to the Registration Statement on Form S-4 filed by CCH I, LLC on June 26, 2015 (File No. 333-205240)).</w:t>
            </w:r>
            <w:r>
              <w:rPr>
                <w:rStyle w:val="InternetLink"/>
              </w:rPr>
              <w:fldChar w:fldCharType="end"/>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100" w:right="0" w:hanging="0"/>
              <w:jc w:val="left"/>
              <w:rPr>
                <w:spacing w:val="4"/>
              </w:rPr>
            </w:pPr>
            <w:r>
              <w:rPr>
                <w:spacing w:val="4"/>
              </w:rPr>
              <w:t xml:space="preserve">4.1(b)*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33">
              <w:r>
                <w:rPr>
                  <w:rStyle w:val="InternetLink"/>
                </w:rPr>
                <w:t>Amendment No. 1 to the Second Amended and Restated Stockholders Agreement and the Letter Agreement, dated as of November 12, 2024, by and among Charter Communications, Inc., Advance/Newhouse Partnership and Liberty Broadband Corporation (incorporated by reference to Exhibit 10.3 to the Current Report on Form 8-K filed by Charter Communications, Inc. on November 13, 2024 (File No. 001-33664)).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34">
              <w:r>
                <w:rPr>
                  <w:rStyle w:val="InternetLink"/>
                </w:rPr>
                <w:t>Indenture, dated as of July 23, 2015, among Charter Communications Operating, LLC, Charter Communications Operating Capital Corp. and CCO Safari II, LLC, as issuers, and The Bank of New York Mellon Trust Company, N.A., as trustee and collateral agent (incorporated by reference to Exhibit 4.1 to the Current Report on Form 8-K filed by Charter Communications, Inc. on July 27, 2015 (File No. 001-33664)).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1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35">
              <w:r>
                <w:rPr>
                  <w:rStyle w:val="InternetLink"/>
                </w:rPr>
                <w:t>Indenture, dated as of November 20, 2015, among CCO Holdings, LLC, CCO Holdings Capital Corp. and CCOH Safari, LLC, as issuers, and The Bank of New York Mellon Trust Company, N.A., as trustee (incorporated by reference to Exhibit 4.1 to the Current Report on Form 8-K filed by Charter Communications, Inc. on November 25, 2015 (File No. 001-33664)).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1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36">
              <w:r>
                <w:rPr>
                  <w:rStyle w:val="InternetLink"/>
                </w:rPr>
                <w:t>Second Supplemental Indenture, dated as of May 18, 2016, by and among Charter Communications Operating, LLC, Charter Communications Operating Capital Corp., CCO Safari II, LLC and The Bank of New York Mellon Trust Company, N.A., as trustee and collateral agent (incorporated by reference to Exhibit 4.1 to the Current Report on Form 8-K filed by Charter Communications, Inc. on May 24, 2016 (File No. 001-33664)).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1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37">
              <w:r>
                <w:rPr>
                  <w:rStyle w:val="InternetLink"/>
                </w:rPr>
                <w:t>Second Supplemental Indenture, dated as of May 18, 2016, by and among CCO Holdings, LLC, CCO Holdings Capital Corp., CCOH Safari, LLC and The Bank of New York Mellon Trust Company, N.A., as trustee (incorporated by reference to Exhibit 4.3 to the Current Report on Form 8-K filed by Charter Communications, Inc. on May 24, 2016 (File No. 001-33664)).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100" w:right="0" w:hanging="0"/>
              <w:jc w:val="left"/>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38">
              <w:r>
                <w:rPr>
                  <w:rStyle w:val="InternetLink"/>
                </w:rPr>
                <w:t>Indenture, dated as of May 23, 2019, among CCO Holdings, LLC, CCO Holdings Capital Corp. and The Bank of New York Mellon Trust Company, N.A., as trustee (incorporated by reference to Exhibit 4.1 to the Current Report on Form 8-K filed by Charter Communications, Inc. on May 30, 2019 (File No. 001-33664)).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100" w:right="0" w:hanging="0"/>
              <w:jc w:val="left"/>
              <w:rPr>
                <w:spacing w:val="4"/>
              </w:rPr>
            </w:pPr>
            <w:r>
              <w:rPr>
                <w:spacing w:val="4"/>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r>
              <w:rPr>
                <w:spacing w:val="4"/>
              </w:rPr>
              <w:t>Indenture, dated as of April 30, 1992 (the “TWCE Indenture”), as amended by the First Supplemental Indenture, dated as of June 30, 1992, among Time Warner Entertainment Company, L.P. (“TWE”), Time Warner Companies, Inc. (“TWCI”), certain of TWCI’s subsidiaries that are parties thereto and The Bank of New York, as Trustee (incorporated herein by reference to Exhibits 10(g) and 10(h) to TWCI’s Current Report on Form 8-K dated June 26, 1992 and filed with the SEC on July 15, 1992 (File No. 1-8637)).</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spacing w:val="4"/>
        </w:rPr>
      </w:pPr>
      <w:r>
        <w:rPr>
          <w:caps w:val="false"/>
          <w:smallCaps w:val="false"/>
          <w:color w:val="000000"/>
          <w:spacing w:val="4"/>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II-7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pacing w:val="4"/>
            <w:sz w:val="16"/>
            <w:u w:val="none"/>
            <w:effect w:val="none"/>
          </w:rPr>
          <w:t>TABLE OF CONTENTS</w:t>
        </w:r>
      </w:hyperlink>
      <w:r>
        <w:rPr>
          <w:rFonts w:ascii="calibri;arial;sans-serif" w:hAnsi="calibri;arial;sans-serif"/>
          <w:b w:val="false"/>
          <w:i w:val="false"/>
          <w:caps w:val="false"/>
          <w:smallCaps w:val="false"/>
          <w:color w:val="000000"/>
          <w:spacing w:val="4"/>
          <w:sz w:val="16"/>
        </w:rPr>
        <w:t xml:space="preserve"> </w:t>
      </w:r>
    </w:p>
    <w:p>
      <w:pPr>
        <w:pStyle w:val="TextBody"/>
        <w:bidi w:val="0"/>
        <w:spacing w:lineRule="atLeast" w:line="240" w:before="340" w:after="283"/>
        <w:ind w:left="1393" w:right="0" w:hanging="0"/>
        <w:jc w:val="left"/>
        <w:rPr>
          <w:caps w:val="false"/>
          <w:smallCaps w:val="false"/>
          <w:color w:val="000000"/>
          <w:spacing w:val="4"/>
        </w:rPr>
      </w:pPr>
      <w:r>
        <w:rPr>
          <w:caps w:val="false"/>
          <w:smallCaps w:val="false"/>
          <w:color w:val="000000"/>
          <w:spacing w:val="4"/>
        </w:rPr>
        <w:t xml:space="preserve">  </w:t>
      </w:r>
    </w:p>
    <w:tbl>
      <w:tblPr>
        <w:tblW w:w="8812" w:type="dxa"/>
        <w:jc w:val="left"/>
        <w:tblInd w:w="1393" w:type="dxa"/>
        <w:tblLayout w:type="fixed"/>
        <w:tblCellMar>
          <w:top w:w="0" w:type="dxa"/>
          <w:left w:w="0" w:type="dxa"/>
          <w:bottom w:w="28" w:type="dxa"/>
          <w:right w:w="0" w:type="dxa"/>
        </w:tblCellMar>
      </w:tblPr>
      <w:tblGrid>
        <w:gridCol w:w="124"/>
        <w:gridCol w:w="799"/>
        <w:gridCol w:w="109"/>
        <w:gridCol w:w="109"/>
        <w:gridCol w:w="7516"/>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99" w:type="dxa"/>
            <w:tcBorders>
              <w:bottom w:val="single" w:sz="2" w:space="0" w:color="000000"/>
            </w:tcBorders>
            <w:tcMar>
              <w:bottom w:w="37" w:type="dxa"/>
            </w:tcMar>
            <w:vAlign w:val="center"/>
          </w:tcPr>
          <w:p>
            <w:pPr>
              <w:pStyle w:val="TableContents"/>
              <w:bidi w:val="0"/>
              <w:spacing w:lineRule="atLeast" w:line="180" w:before="0" w:after="0"/>
              <w:jc w:val="center"/>
              <w:rPr>
                <w:spacing w:val="-3"/>
              </w:rPr>
            </w:pPr>
            <w:r>
              <w:rPr>
                <w:spacing w:val="-3"/>
              </w:rPr>
              <w:t xml:space="preserve">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16" w:type="dxa"/>
            <w:tcBorders>
              <w:bottom w:val="single" w:sz="2" w:space="0" w:color="000000"/>
            </w:tcBorders>
            <w:tcMar>
              <w:bottom w:w="37" w:type="dxa"/>
            </w:tcMar>
            <w:vAlign w:val="center"/>
          </w:tcPr>
          <w:p>
            <w:pPr>
              <w:pStyle w:val="TableContents"/>
              <w:bidi w:val="0"/>
              <w:spacing w:lineRule="atLeast" w:line="180"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283"/>
              <w:ind w:left="100" w:right="0" w:hanging="0"/>
              <w:jc w:val="left"/>
              <w:rPr>
                <w:spacing w:val="4"/>
              </w:rPr>
            </w:pPr>
            <w:r>
              <w:rPr>
                <w:spacing w:val="4"/>
              </w:rPr>
              <w:t xml:space="preserve">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283"/>
              <w:jc w:val="left"/>
              <w:rPr/>
            </w:pPr>
            <w:hyperlink r:id="rId39">
              <w:r>
                <w:rPr>
                  <w:rStyle w:val="InternetLink"/>
                </w:rPr>
                <w:t>Eleventh Supplemental Indenture to the TWCE Indenture, dated as of November 2, 2006, among TWE, TW NY, TWC and The Bank of New York, as Trustee (incorporated herein by reference to Exhibit 99.1 to Time Warner’s Current Report on Form 8-K dated and filed November 2, 2006 (File No. 1-15062)).</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283"/>
              <w:ind w:left="100" w:right="0" w:hanging="0"/>
              <w:jc w:val="left"/>
              <w:rPr>
                <w:spacing w:val="4"/>
              </w:rPr>
            </w:pPr>
            <w:r>
              <w:rPr>
                <w:spacing w:val="4"/>
              </w:rPr>
              <w:t xml:space="preserve">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283"/>
              <w:jc w:val="left"/>
              <w:rPr/>
            </w:pPr>
            <w:hyperlink r:id="rId40">
              <w:r>
                <w:rPr>
                  <w:rStyle w:val="InternetLink"/>
                </w:rPr>
                <w:t>Twelfth Supplemental Indenture to the TWCE Indenture, dated as of September 30, 2012, among Time Warner Cable Enterprises LLC (“TWCE”), TWC, TW NY, Time Warner Cable Internet Holdings II LLC (“TWC Internet Holdings II”) and The Bank of New York Mellon, as trustee, supplementing the Indenture dated April 30, 1992, as amended (incorporated herein by reference to Exhibit 4.2 to TWC’s Current Report on Form 8-K dated September 30, 2012 and filed with the SEC on October 1, 2012 (File No. 1-33335) (the “TWC September 30, 2012 Form 8-K”)).</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283"/>
              <w:ind w:left="100" w:right="0" w:hanging="0"/>
              <w:jc w:val="left"/>
              <w:rPr>
                <w:spacing w:val="4"/>
              </w:rPr>
            </w:pPr>
            <w:r>
              <w:rPr>
                <w:spacing w:val="4"/>
              </w:rPr>
              <w:t xml:space="preserve">4.10*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283"/>
              <w:jc w:val="left"/>
              <w:rPr/>
            </w:pPr>
            <w:hyperlink r:id="rId41">
              <w:r>
                <w:rPr>
                  <w:rStyle w:val="InternetLink"/>
                </w:rPr>
                <w:t>Thirteenth Supplemental Indenture, dated as of May 18, 2016, by and among Time Warner Cable Enterprises LLC, the guarantors party thereto and The Bank of New York Mellon (formerly known as The Bank of New York), as trustee (incorporated by reference to Exhibit 4.4 to the Current Report on Form 8-K filed by Charter Communications, Inc. on May 24, 2016 (File No. 001-33664)).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283"/>
              <w:ind w:left="100" w:right="0" w:hanging="0"/>
              <w:jc w:val="left"/>
              <w:rPr>
                <w:spacing w:val="4"/>
              </w:rPr>
            </w:pPr>
            <w:r>
              <w:rPr>
                <w:spacing w:val="4"/>
              </w:rPr>
              <w:t xml:space="preserve">4.11*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283"/>
              <w:jc w:val="left"/>
              <w:rPr/>
            </w:pPr>
            <w:hyperlink r:id="rId42">
              <w:r>
                <w:rPr>
                  <w:rStyle w:val="InternetLink"/>
                </w:rPr>
                <w:t>Indenture, dated as of April 9, 2007 (the “TWC Indenture”), among TWC, TW NY, TWE and The Bank of New York, as trustee (incorporated herein by reference to Exhibit 4.1 to TWC’s Current Report on Form 8-K dated April 4, 2007 and filed with the SEC on April 9, 2007 (File No. 1-33335) (the “TWC April 4, 2007 Form 8-K”)).</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283"/>
              <w:ind w:left="100" w:right="0" w:hanging="0"/>
              <w:jc w:val="left"/>
              <w:rPr>
                <w:spacing w:val="4"/>
              </w:rPr>
            </w:pPr>
            <w:r>
              <w:rPr>
                <w:spacing w:val="4"/>
              </w:rPr>
              <w:t xml:space="preserve">4.12*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283"/>
              <w:jc w:val="left"/>
              <w:rPr/>
            </w:pPr>
            <w:hyperlink r:id="rId43">
              <w:r>
                <w:rPr>
                  <w:rStyle w:val="InternetLink"/>
                </w:rPr>
                <w:t>Second Supplemental Indenture to the TWC Indenture, dated as of September 30, 2012, among TWC, TW NY, TWCE, TWC Internet Holdings II and The Bank of New York Mellon, as trustee, supplementing the Indenture dated April 9, 2007, as amended (incorporated herein by reference to Exhibit 4.1 to the TWC September 30, 2012 Form 8-K).</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283"/>
              <w:ind w:left="100" w:right="0" w:hanging="0"/>
              <w:jc w:val="left"/>
              <w:rPr>
                <w:spacing w:val="4"/>
              </w:rPr>
            </w:pPr>
            <w:r>
              <w:rPr>
                <w:spacing w:val="4"/>
              </w:rPr>
              <w:t xml:space="preserve">4.13*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283"/>
              <w:jc w:val="left"/>
              <w:rPr/>
            </w:pPr>
            <w:hyperlink r:id="rId44">
              <w:r>
                <w:rPr>
                  <w:rStyle w:val="InternetLink"/>
                </w:rPr>
                <w:t>Third Supplemental Indenture, dated as of May 18, 2016, by and among Time Warner Cable Inc., TWC NewCo LLC and The Bank of New York Mellon (formerly known as The Bank of New York), as trustee (incorporated by reference to Exhibit 4.5 to the Current Report on Form 8-K filed by Charter Communications, Inc. on May 24, 2016 (File No. 001-33664)).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283"/>
              <w:ind w:left="100" w:right="0" w:hanging="0"/>
              <w:jc w:val="left"/>
              <w:rPr>
                <w:spacing w:val="4"/>
              </w:rPr>
            </w:pPr>
            <w:r>
              <w:rPr>
                <w:spacing w:val="4"/>
              </w:rPr>
              <w:t xml:space="preserve">4.14*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283"/>
              <w:jc w:val="left"/>
              <w:rPr/>
            </w:pPr>
            <w:hyperlink r:id="rId45">
              <w:r>
                <w:rPr>
                  <w:rStyle w:val="InternetLink"/>
                </w:rPr>
                <w:t>Fourth Supplemental Indenture, dated as of May 18, 2016, by and among TWC NewCo LLC, the guarantors party thereto and The Bank of New York Mellon (formerly known as The Bank of New York), as trustee (incorporated by reference to Exhibit 4.6 to the Current Report on Form 8-K filed by Charter Communications, Inc. on May 24, 2016 (File No. 001-33664)).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283"/>
              <w:ind w:left="100" w:right="0" w:hanging="0"/>
              <w:jc w:val="left"/>
              <w:rPr>
                <w:spacing w:val="4"/>
              </w:rPr>
            </w:pPr>
            <w:r>
              <w:rPr>
                <w:spacing w:val="4"/>
              </w:rPr>
              <w:t xml:space="preserve">4.15(a)*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283"/>
              <w:jc w:val="left"/>
              <w:rPr/>
            </w:pPr>
            <w:hyperlink r:id="rId46">
              <w:r>
                <w:rPr>
                  <w:rStyle w:val="InternetLink"/>
                </w:rPr>
                <w:t>Restatement Agreement, dated as of April 26 2019, to the Amended and Restated Credit Agreement, dated as of March 18, 1999, as amended and restated on December 21, 2017 and as amended by Amendment No. 1 as of January 24, 2019, by and among Charter Communications Operating, LLC, CCO Holdings, LLC, certain subsidiaries of Charter Communications Operating, LLC, the lenders party thereto and Bank of America, N.A., as Administrative Agent (incorporated by reference to Exhibit 10.4 to the Quarterly Report on Form 10-Q of Charter Communications, Inc. filed April 30, 2019 (File No. 001-33664)).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9" w:type="dxa"/>
            <w:tcBorders/>
            <w:tcMar>
              <w:bottom w:w="0" w:type="dxa"/>
            </w:tcMar>
            <w:vAlign w:val="center"/>
          </w:tcPr>
          <w:p>
            <w:pPr>
              <w:pStyle w:val="TableContents"/>
              <w:bidi w:val="0"/>
              <w:spacing w:before="0" w:after="283"/>
              <w:ind w:left="100" w:right="0" w:hanging="0"/>
              <w:jc w:val="left"/>
              <w:rPr>
                <w:spacing w:val="4"/>
              </w:rPr>
            </w:pPr>
            <w:r>
              <w:rPr>
                <w:spacing w:val="4"/>
              </w:rPr>
              <w:t xml:space="preserve">4.15(b)*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16" w:type="dxa"/>
            <w:tcBorders/>
            <w:tcMar>
              <w:bottom w:w="0" w:type="dxa"/>
            </w:tcMar>
            <w:vAlign w:val="center"/>
          </w:tcPr>
          <w:p>
            <w:pPr>
              <w:pStyle w:val="TableContents"/>
              <w:bidi w:val="0"/>
              <w:spacing w:before="0" w:after="283"/>
              <w:jc w:val="left"/>
              <w:rPr/>
            </w:pPr>
            <w:hyperlink r:id="rId47">
              <w:r>
                <w:rPr>
                  <w:rStyle w:val="InternetLink"/>
                </w:rPr>
                <w:t>Amendment No. 1, dated as of October 24, 2019, to the Amended and Restated Credit Agreement, dated as of March 18, 1999, as amended and restated on April 26, 2019, by and among Charter Communications Operating, LLC, CCO Holdings, LLC, certain subsidiaries of Charter Communications Operating, LLC, the lenders party thereto and Bank of America, N.A., as administrative agent (incorporated by reference to Exhibit 10.2 to the Current Report on Form 8-K filed by Charter Communications, Inc. on October 30, 2019 (File No. 001-33664)).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spacing w:val="4"/>
        </w:rPr>
      </w:pPr>
      <w:r>
        <w:rPr>
          <w:caps w:val="false"/>
          <w:smallCaps w:val="false"/>
          <w:color w:val="000000"/>
          <w:spacing w:val="4"/>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II-8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pacing w:val="4"/>
            <w:sz w:val="16"/>
            <w:u w:val="none"/>
            <w:effect w:val="none"/>
          </w:rPr>
          <w:t>TABLE OF CONTENTS</w:t>
        </w:r>
      </w:hyperlink>
      <w:r>
        <w:rPr>
          <w:rFonts w:ascii="calibri;arial;sans-serif" w:hAnsi="calibri;arial;sans-serif"/>
          <w:b w:val="false"/>
          <w:i w:val="false"/>
          <w:caps w:val="false"/>
          <w:smallCaps w:val="false"/>
          <w:color w:val="000000"/>
          <w:spacing w:val="4"/>
          <w:sz w:val="16"/>
        </w:rPr>
        <w:t xml:space="preserve"> </w:t>
      </w:r>
    </w:p>
    <w:p>
      <w:pPr>
        <w:pStyle w:val="TextBody"/>
        <w:bidi w:val="0"/>
        <w:spacing w:lineRule="atLeast" w:line="240" w:before="340" w:after="283"/>
        <w:ind w:left="1393" w:right="0" w:hanging="0"/>
        <w:jc w:val="left"/>
        <w:rPr>
          <w:caps w:val="false"/>
          <w:smallCaps w:val="false"/>
          <w:color w:val="000000"/>
          <w:spacing w:val="4"/>
        </w:rPr>
      </w:pPr>
      <w:r>
        <w:rPr>
          <w:caps w:val="false"/>
          <w:smallCaps w:val="false"/>
          <w:color w:val="000000"/>
          <w:spacing w:val="4"/>
        </w:rPr>
        <w:t xml:space="preserve">  </w:t>
      </w:r>
    </w:p>
    <w:tbl>
      <w:tblPr>
        <w:tblW w:w="8812" w:type="dxa"/>
        <w:jc w:val="left"/>
        <w:tblInd w:w="1393" w:type="dxa"/>
        <w:tblLayout w:type="fixed"/>
        <w:tblCellMar>
          <w:top w:w="0" w:type="dxa"/>
          <w:left w:w="0" w:type="dxa"/>
          <w:bottom w:w="28" w:type="dxa"/>
          <w:right w:w="0" w:type="dxa"/>
        </w:tblCellMar>
      </w:tblPr>
      <w:tblGrid>
        <w:gridCol w:w="124"/>
        <w:gridCol w:w="790"/>
        <w:gridCol w:w="109"/>
        <w:gridCol w:w="109"/>
        <w:gridCol w:w="7525"/>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9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2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ind w:left="100" w:right="0" w:hanging="0"/>
              <w:jc w:val="left"/>
              <w:rPr>
                <w:spacing w:val="4"/>
              </w:rPr>
            </w:pPr>
            <w:r>
              <w:rPr>
                <w:spacing w:val="4"/>
              </w:rPr>
              <w:t xml:space="preserve">4.15(c)*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5" w:type="dxa"/>
            <w:tcBorders/>
            <w:tcMar>
              <w:bottom w:w="0" w:type="dxa"/>
            </w:tcMar>
            <w:vAlign w:val="center"/>
          </w:tcPr>
          <w:p>
            <w:pPr>
              <w:pStyle w:val="TableContents"/>
              <w:bidi w:val="0"/>
              <w:spacing w:before="0" w:after="283"/>
              <w:jc w:val="left"/>
              <w:rPr/>
            </w:pPr>
            <w:hyperlink r:id="rId48">
              <w:r>
                <w:rPr>
                  <w:rStyle w:val="InternetLink"/>
                </w:rPr>
                <w:t>Amendment No. 2, dated as of May 26, 2022, to (i) the Amended and Restated Credit Agreement, dated as of March 18, 1999, as amended and restated on April 26, 2019 and as amended by Amendment No. 1 on October 24, 2019, by and among Charter Communications Operating, LLC, CCO Holdings, LLC, certain subsidiaries of Charter Communications Operating, LLC, the lenders party thereto and Bank of America, N.A., as administrative agent and (ii) the Amended and Restated Guarantee and Collateral Agreement, dated as of March 18, 1999, as amended and restated as of March 6, 2007, as amended and restated as of March 31, 2010, as amended and restated as of May 18, 2016 and as further amended as of January 24, 2019, by Charter Communications Operating, LLC, CCO Holdings, LLC, certain subsidiaries of Charter Communications Operating, LLC and the Bank of America, N.A., as administrative agent (incorporated by reference to Exhibit 10.1 to the Current Report on Form 8-K filed by Charter Communications, Inc. on June 2, 2022 (File No. 001-33664)).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ind w:left="100" w:right="0" w:hanging="0"/>
              <w:jc w:val="left"/>
              <w:rPr>
                <w:spacing w:val="4"/>
              </w:rPr>
            </w:pPr>
            <w:r>
              <w:rPr>
                <w:spacing w:val="4"/>
              </w:rPr>
              <w:t xml:space="preserve">4.15(d)*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5" w:type="dxa"/>
            <w:tcBorders/>
            <w:tcMar>
              <w:bottom w:w="0" w:type="dxa"/>
            </w:tcMar>
            <w:vAlign w:val="center"/>
          </w:tcPr>
          <w:p>
            <w:pPr>
              <w:pStyle w:val="TableContents"/>
              <w:bidi w:val="0"/>
              <w:spacing w:before="0" w:after="283"/>
              <w:jc w:val="left"/>
              <w:rPr/>
            </w:pPr>
            <w:hyperlink r:id="rId49">
              <w:r>
                <w:rPr>
                  <w:rStyle w:val="InternetLink"/>
                </w:rPr>
                <w:t>Amendment No. 3, dated as of February 10, 2023, to the Amended and Restated Credit Agreement, dated as of March 18, 1999, as amended and restated on April 26, 2019, as amended by Amendment No. 1 on October 24, 2019 and as further amended by Amendment No. 2 on May 26, 2022, by and among Charter Communications Operating, LLC, CCO Holdings, LLC, certain of Charter Communications Operating, LLC’s subsidiaries, the lenders party thereto and Bank of America, N.A., as administrative agent (incorporated by reference to Exhibit 10.2 to the Current Report on Form 8-K filed by Charter Communications, Inc. on February 16, 2023 (File No. 001-33664)).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ind w:left="100" w:right="0" w:hanging="0"/>
              <w:jc w:val="left"/>
              <w:rPr>
                <w:spacing w:val="4"/>
              </w:rPr>
            </w:pPr>
            <w:r>
              <w:rPr>
                <w:spacing w:val="4"/>
              </w:rPr>
              <w:t xml:space="preserve">4.15(e)*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5" w:type="dxa"/>
            <w:tcBorders/>
            <w:tcMar>
              <w:bottom w:w="0" w:type="dxa"/>
            </w:tcMar>
            <w:vAlign w:val="center"/>
          </w:tcPr>
          <w:p>
            <w:pPr>
              <w:pStyle w:val="TableContents"/>
              <w:bidi w:val="0"/>
              <w:spacing w:before="0" w:after="283"/>
              <w:jc w:val="left"/>
              <w:rPr/>
            </w:pPr>
            <w:hyperlink r:id="rId50">
              <w:r>
                <w:rPr>
                  <w:rStyle w:val="InternetLink"/>
                </w:rPr>
                <w:t>Amendment No. 4, dated as of March 23, 2023, to the Amended and Restated Credit Agreement, dated as of March 18, 1999, as amended and restated on April 26, 2019, as amended by Amendment No. 1 on October 24, 2019 and as further amended by Amendment No. 2 on May 26, 2022 and as further amended by Amendment No. 3 on February 10, 2023, by and among Charter Communications Operating, LLC, CCO Holdings, LLC, certain of Charter Communications Operating, LLC’s subsidiaries, the lenders party thereto and Bank of America, N.A., as administrative agent (incorporated by reference to Exhibit 10.1 to the Current Report on Form 8-K filed by Charter Communications, Inc. on March 29, 2023 (File No. 001-33664)).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ind w:left="100" w:right="0" w:hanging="0"/>
              <w:jc w:val="left"/>
              <w:rPr>
                <w:spacing w:val="4"/>
              </w:rPr>
            </w:pPr>
            <w:r>
              <w:rPr>
                <w:spacing w:val="4"/>
              </w:rPr>
              <w:t xml:space="preserve">4.15(f)*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5" w:type="dxa"/>
            <w:tcBorders/>
            <w:tcMar>
              <w:bottom w:w="0" w:type="dxa"/>
            </w:tcMar>
            <w:vAlign w:val="center"/>
          </w:tcPr>
          <w:p>
            <w:pPr>
              <w:pStyle w:val="TableContents"/>
              <w:bidi w:val="0"/>
              <w:spacing w:before="0" w:after="283"/>
              <w:jc w:val="left"/>
              <w:rPr/>
            </w:pPr>
            <w:hyperlink r:id="rId51">
              <w:r>
                <w:rPr>
                  <w:rStyle w:val="InternetLink"/>
                </w:rPr>
                <w:t>Amendment No. 5, dated as of December 7, 2023, to the Amended and Restated Credit Agreement. dated as of March 18, 1999, as amended and restated on April 26, 2019, as amended by Amendment No. 1 on October 24, 2019 and as further amended by Amendment No. 2 on May 26, 2022 and as further amended by Amendment No. 3 on February 10, 2023 and as further amended by Amendment No. 4 on March 23, 2023, by and among Charter Communications Operating, LLC, CCO Holdings, LLC, certain of Charter Communications Operating, LLC’s subsidiaries, the lenders party thereto and Bank of America, N.A., as administrative agent (incorporated by reference to Exhibit 10.1 to the Current Report on Form 8-K filed by Charter Communications, Inc. on December 13, 2023 (File No. 001-33664)).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0" w:type="dxa"/>
            <w:tcBorders/>
            <w:tcMar>
              <w:bottom w:w="0" w:type="dxa"/>
            </w:tcMar>
            <w:vAlign w:val="center"/>
          </w:tcPr>
          <w:p>
            <w:pPr>
              <w:pStyle w:val="TableContents"/>
              <w:bidi w:val="0"/>
              <w:spacing w:before="0" w:after="283"/>
              <w:ind w:left="100" w:right="0" w:hanging="0"/>
              <w:jc w:val="left"/>
              <w:rPr>
                <w:spacing w:val="4"/>
              </w:rPr>
            </w:pPr>
            <w:r>
              <w:rPr>
                <w:spacing w:val="4"/>
              </w:rPr>
              <w:t xml:space="preserve">4.15(g)*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5" w:type="dxa"/>
            <w:tcBorders/>
            <w:tcMar>
              <w:bottom w:w="0" w:type="dxa"/>
            </w:tcMar>
            <w:vAlign w:val="center"/>
          </w:tcPr>
          <w:p>
            <w:pPr>
              <w:pStyle w:val="TableContents"/>
              <w:bidi w:val="0"/>
              <w:spacing w:before="0" w:after="283"/>
              <w:jc w:val="left"/>
              <w:rPr/>
            </w:pPr>
            <w:hyperlink r:id="rId52">
              <w:r>
                <w:rPr>
                  <w:rStyle w:val="InternetLink"/>
                </w:rPr>
                <w:t>Amendment No. 6, dated as of December 3, 2024, to the Amended and Restated Credit Agreement, dated as of March 18, 1999, as amended and restated on April 26, 2019, as amended by Amendment No. 1 on October 24, 2019 and as further amended by Amendment No. 2 on May 26, 2022 and as further amended by Amendment No. 3 on February 10, 2023, as further amended by Amendment No. 4 on March 23, 2023, and as further amended by Amendment No. 5 on December 7, 2023, by and among Charter Communications Operating, LLC, CCO Holdings, LLC, certain of Charter Communications Operating, LLC’s subsidiaries, the lenders party thereto and Bank of America, N.A., as administrative agent (incorporated by reference to Exhibit 10.1 to the Current Report on Form 8-K filed by Charter Communications, Inc. on December 9, 2024 (File No. 001-33664)).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spacing w:val="4"/>
        </w:rPr>
      </w:pPr>
      <w:r>
        <w:rPr>
          <w:caps w:val="false"/>
          <w:smallCaps w:val="false"/>
          <w:color w:val="000000"/>
          <w:spacing w:val="4"/>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II-9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pacing w:val="4"/>
            <w:sz w:val="16"/>
            <w:u w:val="none"/>
            <w:effect w:val="none"/>
          </w:rPr>
          <w:t>TABLE OF CONTENTS</w:t>
        </w:r>
      </w:hyperlink>
      <w:r>
        <w:rPr>
          <w:rFonts w:ascii="calibri;arial;sans-serif" w:hAnsi="calibri;arial;sans-serif"/>
          <w:b w:val="false"/>
          <w:i w:val="false"/>
          <w:caps w:val="false"/>
          <w:smallCaps w:val="false"/>
          <w:color w:val="000000"/>
          <w:spacing w:val="4"/>
          <w:sz w:val="16"/>
        </w:rPr>
        <w:t xml:space="preserve"> </w:t>
      </w:r>
    </w:p>
    <w:p>
      <w:pPr>
        <w:pStyle w:val="TextBody"/>
        <w:bidi w:val="0"/>
        <w:spacing w:lineRule="atLeast" w:line="240" w:before="340" w:after="283"/>
        <w:ind w:left="1393" w:right="0" w:hanging="0"/>
        <w:jc w:val="left"/>
        <w:rPr>
          <w:caps w:val="false"/>
          <w:smallCaps w:val="false"/>
          <w:color w:val="000000"/>
          <w:spacing w:val="4"/>
        </w:rPr>
      </w:pPr>
      <w:r>
        <w:rPr>
          <w:caps w:val="false"/>
          <w:smallCaps w:val="false"/>
          <w:color w:val="000000"/>
          <w:spacing w:val="4"/>
        </w:rPr>
        <w:t xml:space="preserve">  </w:t>
      </w:r>
    </w:p>
    <w:tbl>
      <w:tblPr>
        <w:tblW w:w="8812" w:type="dxa"/>
        <w:jc w:val="left"/>
        <w:tblInd w:w="1393" w:type="dxa"/>
        <w:tblLayout w:type="fixed"/>
        <w:tblCellMar>
          <w:top w:w="0" w:type="dxa"/>
          <w:left w:w="0" w:type="dxa"/>
          <w:bottom w:w="28" w:type="dxa"/>
          <w:right w:w="0" w:type="dxa"/>
        </w:tblCellMar>
      </w:tblPr>
      <w:tblGrid>
        <w:gridCol w:w="124"/>
        <w:gridCol w:w="785"/>
        <w:gridCol w:w="109"/>
        <w:gridCol w:w="109"/>
        <w:gridCol w:w="753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8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3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ind w:left="100" w:right="0" w:hanging="0"/>
              <w:jc w:val="left"/>
              <w:rPr>
                <w:spacing w:val="4"/>
              </w:rPr>
            </w:pPr>
            <w:r>
              <w:rPr>
                <w:spacing w:val="4"/>
              </w:rPr>
              <w:t xml:space="preserve">4.16*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left"/>
              <w:rPr/>
            </w:pPr>
            <w:hyperlink r:id="rId53">
              <w:r>
                <w:rPr>
                  <w:rStyle w:val="InternetLink"/>
                </w:rPr>
                <w:t>Collateral Agreement, dated as of May 18, 2016, by Charter Communications Operating, LLC, Charter Communications Operating Capital Corp. and the other grantors party thereto in favor of The Bank of New York Mellon Trust Company, N.A., as collateral agent (incorporated herein by reference to Exhibit 10.6 to the current report on Form 8-K filed by CCO Holdings, LLC on May 24, 2016 (File No. 001-37789)).</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ind w:left="100" w:right="0" w:hanging="0"/>
              <w:jc w:val="left"/>
              <w:rPr>
                <w:spacing w:val="4"/>
              </w:rPr>
            </w:pPr>
            <w:r>
              <w:rPr>
                <w:spacing w:val="4"/>
              </w:rPr>
              <w:t xml:space="preserve">4.17*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left"/>
              <w:rPr/>
            </w:pPr>
            <w:hyperlink r:id="rId54">
              <w:r>
                <w:rPr>
                  <w:rStyle w:val="InternetLink"/>
                </w:rPr>
                <w:t>First Lien Intercreditor Agreement, dated as of May 18, 2016, by and among Charter Communications Operating, LLC, the other grantors party thereto, Bank of America, N.A., as credit agreement collateral agent for the credit agreement secured parties, The Bank of New York Mellon Trust Company, N.A., as notes collateral agent for the indenture secured parties, and each additional agent from time to time party thereto (incorporated herein by reference to Exhibit 10.7 to the current report on Form 8-K filed by CCO Holdings, LLC on May 24, 2016 (File No. 001-37789)).</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left"/>
              <w:rPr/>
            </w:pPr>
            <w:hyperlink w:anchor="tm2621265d2_ex5-1.htm">
              <w:r>
                <w:rPr>
                  <w:rStyle w:val="InternetLink"/>
                </w:rPr>
                <w:t>Legal Opinion of Kirkland &amp; Ellis LLP relating to debt securities of Charter Communications Operating, LLC and Charter Communications Operating Capital Corp</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ind w:left="100" w:right="0" w:hanging="0"/>
              <w:jc w:val="left"/>
              <w:rPr>
                <w:spacing w:val="4"/>
              </w:rPr>
            </w:pPr>
            <w:r>
              <w:rPr>
                <w:spacing w:val="4"/>
              </w:rPr>
              <w:t xml:space="preserve">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left"/>
              <w:rPr/>
            </w:pPr>
            <w:hyperlink w:anchor="tm2621265d2_ex5-2.htm">
              <w:r>
                <w:rPr>
                  <w:rStyle w:val="InternetLink"/>
                </w:rPr>
                <w:t>Legal Opinion of Kirkland &amp; Ellis LLP relating to debt securities of CCO Holdings, LLC and CCO Holdings Capital Corp.</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ind w:left="100" w:right="0" w:hanging="0"/>
              <w:jc w:val="left"/>
              <w:rPr>
                <w:spacing w:val="4"/>
              </w:rPr>
            </w:pPr>
            <w:r>
              <w:rPr>
                <w:spacing w:val="4"/>
              </w:rPr>
              <w:t xml:space="preserve">5.3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left"/>
              <w:rPr/>
            </w:pPr>
            <w:hyperlink w:anchor="tm2621265d2_ex5-3.htm">
              <w:r>
                <w:rPr>
                  <w:rStyle w:val="InternetLink"/>
                </w:rPr>
                <w:t>Legal Opinion of Kirkland &amp; Ellis LLP relating to debt securities of Charter Communications, Inc.</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jc w:val="left"/>
              <w:rPr>
                <w:spacing w:val="4"/>
              </w:rPr>
            </w:pPr>
            <w:r>
              <w:rPr>
                <w:spacing w:val="4"/>
              </w:rPr>
              <w:t xml:space="preserve">22.1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left"/>
              <w:rPr/>
            </w:pPr>
            <w:hyperlink w:anchor="tm2621265d2_ex22-1.htm">
              <w:r>
                <w:rPr>
                  <w:rStyle w:val="InternetLink"/>
                </w:rPr>
                <w:t>Subsidiary Issuers and Subsidiary Guarantors of Guaranteed Securities.</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left"/>
              <w:rPr/>
            </w:pPr>
            <w:r>
              <w:rPr>
                <w:spacing w:val="4"/>
              </w:rPr>
              <w:t>Consent of Kirkland &amp; Ellis LLP (included with Exhibits </w:t>
            </w:r>
            <w:hyperlink w:anchor="tm2621265d2_ex5-1.htm">
              <w:r>
                <w:rPr>
                  <w:rStyle w:val="InternetLink"/>
                </w:rPr>
                <w:t>5.1</w:t>
              </w:r>
            </w:hyperlink>
            <w:r>
              <w:rPr>
                <w:spacing w:val="4"/>
              </w:rPr>
              <w:t xml:space="preserve">, </w:t>
            </w:r>
            <w:hyperlink w:anchor="tm2621265d2_ex5-2.htm">
              <w:r>
                <w:rPr>
                  <w:rStyle w:val="InternetLink"/>
                </w:rPr>
                <w:t>5.2</w:t>
              </w:r>
            </w:hyperlink>
            <w:r>
              <w:rPr>
                <w:spacing w:val="4"/>
              </w:rPr>
              <w:t xml:space="preserve"> and </w:t>
            </w:r>
            <w:hyperlink w:anchor="tm2621265d2_ex5-3.htm">
              <w:r>
                <w:rPr>
                  <w:rStyle w:val="InternetLink"/>
                </w:rPr>
                <w:t>5.3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left"/>
              <w:rPr/>
            </w:pPr>
            <w:hyperlink w:anchor="tm2621265d2_ex23-2.htm">
              <w:r>
                <w:rPr>
                  <w:rStyle w:val="InternetLink"/>
                </w:rPr>
                <w:t>Consent of KPMG LLP (St. Louis, MO) relating to the audit report on the financial statements of CCO Holdings, LLC and the audit report on the financial statements of Charter Communications, Inc.</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left"/>
              <w:rPr/>
            </w:pPr>
            <w:hyperlink w:anchor="tSIGN">
              <w:r>
                <w:rPr>
                  <w:rStyle w:val="InternetLink"/>
                </w:rPr>
                <w:t>Powers of Attorney (included on the signature pages of this Form S-3 and incorporated by reference)</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jc w:val="left"/>
              <w:rPr>
                <w:spacing w:val="4"/>
              </w:rPr>
            </w:pPr>
            <w:r>
              <w:rPr>
                <w:spacing w:val="4"/>
              </w:rPr>
              <w:t xml:space="preserve">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left"/>
              <w:rPr/>
            </w:pPr>
            <w:hyperlink w:anchor="tm2621265d2_ex25-1.htm">
              <w:r>
                <w:rPr>
                  <w:rStyle w:val="InternetLink"/>
                </w:rPr>
                <w:t>Statement of Eligibility on Form T-1 of The Bank of New York Mellon Trust Company, N.A. with respect to the indenture, dated as of July 23, 2015, among Charter Communications Operating, LLC, Charter Communications Operating Capital Corp. and CCO Safari II, LLC, as issuers, and The Bank of New York Mellon Trust Company, N.A., as trustee and collateral agent</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jc w:val="left"/>
              <w:rPr>
                <w:spacing w:val="4"/>
              </w:rPr>
            </w:pPr>
            <w:r>
              <w:rPr>
                <w:spacing w:val="4"/>
              </w:rPr>
              <w:t xml:space="preserve">25.2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left"/>
              <w:rPr/>
            </w:pPr>
            <w:hyperlink w:anchor="tm2621265d2_ex25-2.htm">
              <w:r>
                <w:rPr>
                  <w:rStyle w:val="InternetLink"/>
                </w:rPr>
                <w:t>Statement of Eligibility of Form T-1 of The Bank of New York Mellon Trust Company, N.A. with respect to the indenture, dated as of May 23, 2019, among CCO Holdings, LLC, CCO Holdings Capital Corp. and CCOH Safari, LLC, as issuers, and The Bank of New York Mellon Trust Company, N.A., as trustee</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jc w:val="left"/>
              <w:rPr>
                <w:spacing w:val="4"/>
              </w:rPr>
            </w:pPr>
            <w:r>
              <w:rPr>
                <w:spacing w:val="4"/>
              </w:rPr>
              <w:t xml:space="preserve">25.3**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left"/>
              <w:rPr>
                <w:spacing w:val="4"/>
              </w:rPr>
            </w:pPr>
            <w:r>
              <w:rPr>
                <w:spacing w:val="4"/>
              </w:rPr>
              <w:t xml:space="preserve">Statement of Eligibility on Form T-1 of a trustee to be named later with respect to the form indenture of Charter Communications, Inc.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5"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30" w:type="dxa"/>
            <w:tcBorders/>
            <w:tcMar>
              <w:bottom w:w="0" w:type="dxa"/>
            </w:tcMar>
            <w:vAlign w:val="center"/>
          </w:tcPr>
          <w:p>
            <w:pPr>
              <w:pStyle w:val="TableContents"/>
              <w:bidi w:val="0"/>
              <w:spacing w:before="0" w:after="283"/>
              <w:jc w:val="left"/>
              <w:rPr/>
            </w:pPr>
            <w:hyperlink w:anchor="tm2621265d1_ex-filingfees.htm">
              <w:r>
                <w:rPr>
                  <w:rStyle w:val="InternetLink"/>
                </w:rPr>
                <w:t>Filing Fee Table</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by amendment or as an exhibit with a subsequent Current Report on Form 8-K in connection with a specific offering </w:t>
      </w:r>
      <w:r>
        <mc:AlternateContent>
          <mc:Choice Requires="wps">
            <w:drawing>
              <wp:anchor behindDoc="0" distT="10160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spacing w:val="4"/>
        </w:rPr>
      </w:pPr>
      <w:r>
        <w:rPr>
          <w:caps w:val="false"/>
          <w:smallCaps w:val="false"/>
          <w:color w:val="000000"/>
          <w:spacing w:val="4"/>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Incorporated by reference and not filed herewith. </w:t>
      </w:r>
      <w:r>
        <mc:AlternateContent>
          <mc:Choice Requires="wps">
            <w:drawing>
              <wp:anchor behindDoc="0" distT="508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spacing w:val="4"/>
        </w:rPr>
      </w:pPr>
      <w:r>
        <w:rPr>
          <w:caps w:val="false"/>
          <w:smallCaps w:val="false"/>
          <w:color w:val="000000"/>
          <w:spacing w:val="4"/>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as a 305 B2 filing at a later date when a trustee is named </w:t>
      </w:r>
      <w:r>
        <mc:AlternateContent>
          <mc:Choice Requires="wps">
            <w:drawing>
              <wp:anchor behindDoc="0" distT="508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spacing w:val="4"/>
        </w:rPr>
      </w:pPr>
      <w:r>
        <w:rPr>
          <w:caps w:val="false"/>
          <w:smallCaps w:val="false"/>
          <w:color w:val="000000"/>
          <w:spacing w:val="4"/>
        </w:rPr>
        <w:t>​</w:t>
      </w:r>
    </w:p>
    <w:p>
      <w:pPr>
        <w:pStyle w:val="TextBody"/>
        <w:bidi w:val="0"/>
        <w:spacing w:lineRule="atLeast" w:line="240" w:before="100" w:after="283"/>
        <w:ind w:left="1393" w:right="0" w:hanging="0"/>
        <w:jc w:val="center"/>
        <w:rPr>
          <w:caps w:val="false"/>
          <w:smallCaps w:val="false"/>
          <w:color w:val="000000"/>
          <w:spacing w:val="4"/>
        </w:rPr>
      </w:pPr>
      <w:r>
        <w:rPr>
          <w:caps w:val="false"/>
          <w:smallCaps w:val="false"/>
          <w:color w:val="000000"/>
          <w:spacing w:val="4"/>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II-10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SIGN"/>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the registrants have duly caused this registration statement to be signed on their behalf by the undersigned, thereunto duly authorized, in the County of St. Louis, State of Missouri, on July 27, 2026. </w:t>
      </w:r>
    </w:p>
    <w:p>
      <w:pPr>
        <w:pStyle w:val="TextBody"/>
        <w:bidi w:val="0"/>
        <w:spacing w:lineRule="atLeast" w:line="240" w:before="240" w:after="283"/>
        <w:ind w:left="5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CHARTER COMMUNICATIONS OPERATING, LLC</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Registrant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Kevin D. Howard </w:t>
      </w:r>
      <w:r>
        <mc:AlternateContent>
          <mc:Choice Requires="wps">
            <w:drawing>
              <wp:anchor behindDoc="0" distT="101600" distB="0" distL="2540000" distR="0" simplePos="0" locked="0" layoutInCell="1" allowOverlap="1" relativeHeight="77">
                <wp:simplePos x="0" y="0"/>
                <wp:positionH relativeFrom="column">
                  <wp:align>left</wp:align>
                </wp:positionH>
                <wp:positionV relativeFrom="line">
                  <wp:align>top</wp:align>
                </wp:positionV>
                <wp:extent cx="254000" cy="525780"/>
                <wp:effectExtent l="0" t="0" r="0" b="0"/>
                <wp:wrapSquare wrapText="right"/>
                <wp:docPr id="57" name="Frame5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0pt;mso-wrap-distance-right:0pt;mso-wrap-distance-top:8pt;mso-wrap-distance-bottom:0pt;margin-top:8pt;mso-position-vertical:top;mso-position-vertical-relative:text;margin-left:20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4"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Kevin D. Howard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Executive Vice President, Chief Accounting Officer and Controller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ind w:left="5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CHARTER COMMUNICATIONS OPERATING CAPITAL CORP., Registrant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Kevin D. Howard </w:t>
      </w:r>
      <w:r>
        <mc:AlternateContent>
          <mc:Choice Requires="wps">
            <w:drawing>
              <wp:anchor behindDoc="0" distT="101600" distB="0" distL="2540000" distR="0" simplePos="0" locked="0" layoutInCell="1" allowOverlap="1" relativeHeight="78">
                <wp:simplePos x="0" y="0"/>
                <wp:positionH relativeFrom="column">
                  <wp:align>left</wp:align>
                </wp:positionH>
                <wp:positionV relativeFrom="line">
                  <wp:align>top</wp:align>
                </wp:positionV>
                <wp:extent cx="254000" cy="525780"/>
                <wp:effectExtent l="0" t="0" r="0" b="0"/>
                <wp:wrapSquare wrapText="right"/>
                <wp:docPr id="58" name="Frame5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0pt;mso-wrap-distance-right:0pt;mso-wrap-distance-top:8pt;mso-wrap-distance-bottom:0pt;margin-top:8pt;mso-position-vertical:top;mso-position-vertical-relative:text;margin-left:20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4"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Kevin D. Howard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Executive Vice President, Chief Accounting Officer and Controller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ind w:left="5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CCO HOLDINGS, LLC</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Registrant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Kevin D. Howard </w:t>
      </w:r>
      <w:r>
        <mc:AlternateContent>
          <mc:Choice Requires="wps">
            <w:drawing>
              <wp:anchor behindDoc="0" distT="101600" distB="0" distL="2540000" distR="0" simplePos="0" locked="0" layoutInCell="1" allowOverlap="1" relativeHeight="79">
                <wp:simplePos x="0" y="0"/>
                <wp:positionH relativeFrom="column">
                  <wp:align>left</wp:align>
                </wp:positionH>
                <wp:positionV relativeFrom="line">
                  <wp:align>top</wp:align>
                </wp:positionV>
                <wp:extent cx="254000" cy="525780"/>
                <wp:effectExtent l="0" t="0" r="0" b="0"/>
                <wp:wrapSquare wrapText="right"/>
                <wp:docPr id="59" name="Frame5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0pt;mso-wrap-distance-right:0pt;mso-wrap-distance-top:8pt;mso-wrap-distance-bottom:0pt;margin-top:8pt;mso-position-vertical:top;mso-position-vertical-relative:text;margin-left:20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4"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Kevin D. Howard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Executive Vice President, Chief Accounting Officer and Controller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ind w:left="5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CCO HOLDINGS CAPITAL CORP.</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Registrant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Kevin D. Howard </w:t>
      </w:r>
      <w:r>
        <mc:AlternateContent>
          <mc:Choice Requires="wps">
            <w:drawing>
              <wp:anchor behindDoc="0" distT="101600" distB="0" distL="2540000" distR="0" simplePos="0" locked="0" layoutInCell="1" allowOverlap="1" relativeHeight="80">
                <wp:simplePos x="0" y="0"/>
                <wp:positionH relativeFrom="column">
                  <wp:align>left</wp:align>
                </wp:positionH>
                <wp:positionV relativeFrom="line">
                  <wp:align>top</wp:align>
                </wp:positionV>
                <wp:extent cx="254000" cy="525780"/>
                <wp:effectExtent l="0" t="0" r="0" b="0"/>
                <wp:wrapSquare wrapText="right"/>
                <wp:docPr id="60" name="Frame6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0pt;mso-wrap-distance-right:0pt;mso-wrap-distance-top:8pt;mso-wrap-distance-bottom:0pt;margin-top:8pt;mso-position-vertical:top;mso-position-vertical-relative:text;margin-left:20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4"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Kevin D. Howard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caps w:val="false"/>
          <w:smallCaps w:val="false"/>
          <w:color w:val="000000"/>
          <w:spacing w:val="4"/>
          <w:sz w:val="20"/>
        </w:rPr>
        <w:t>Executive Vice President, Chief Accounting Officer and Controller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ind w:left="5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CHARTER COMMUNICATIONS, INC.</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Registrant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Kevin D. Howard </w:t>
      </w:r>
      <w:r>
        <mc:AlternateContent>
          <mc:Choice Requires="wps">
            <w:drawing>
              <wp:anchor behindDoc="0" distT="101600" distB="0" distL="2540000" distR="0" simplePos="0" locked="0" layoutInCell="1" allowOverlap="1" relativeHeight="81">
                <wp:simplePos x="0" y="0"/>
                <wp:positionH relativeFrom="column">
                  <wp:align>left</wp:align>
                </wp:positionH>
                <wp:positionV relativeFrom="line">
                  <wp:align>top</wp:align>
                </wp:positionV>
                <wp:extent cx="254000" cy="525780"/>
                <wp:effectExtent l="0" t="0" r="0" b="0"/>
                <wp:wrapSquare wrapText="right"/>
                <wp:docPr id="61" name="Frame6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0pt;mso-wrap-distance-right:0pt;mso-wrap-distance-top:8pt;mso-wrap-distance-bottom:0pt;margin-top:8pt;mso-position-vertical:top;mso-position-vertical-relative:text;margin-left:20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4"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Kevin D. Howard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Executive Vice President, Chief Accounting Officer and Controller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ind w:left="5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EACH OF THE ADDITIONAL REGISTRANT GUARANTORS NAMED ON THE TABLE OF ADDITIONAL REGISTRANT GUARANTORS (OTHER THAN SPECTRUM MOBILE EQUIPMENT, LLC)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Registrant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Kevin D. Howard </w:t>
      </w:r>
      <w:r>
        <mc:AlternateContent>
          <mc:Choice Requires="wps">
            <w:drawing>
              <wp:anchor behindDoc="0" distT="101600" distB="0" distL="2540000" distR="0" simplePos="0" locked="0" layoutInCell="1" allowOverlap="1" relativeHeight="82">
                <wp:simplePos x="0" y="0"/>
                <wp:positionH relativeFrom="column">
                  <wp:align>left</wp:align>
                </wp:positionH>
                <wp:positionV relativeFrom="line">
                  <wp:align>top</wp:align>
                </wp:positionV>
                <wp:extent cx="254000" cy="525780"/>
                <wp:effectExtent l="0" t="0" r="0" b="0"/>
                <wp:wrapSquare wrapText="right"/>
                <wp:docPr id="62" name="Frame6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0pt;mso-wrap-distance-right:0pt;mso-wrap-distance-top:8pt;mso-wrap-distance-bottom:0pt;margin-top:8pt;mso-position-vertical:top;mso-position-vertical-relative:text;margin-left:20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4"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Kevin D. Howard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Executive Vice President, Chief Accounting Officer and Controller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20"/>
        <w:ind w:left="5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SPECTRUM MOBILE EQUIPMENT, LLC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Registrant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Jeffrey B. Murphy </w:t>
      </w:r>
      <w:r>
        <mc:AlternateContent>
          <mc:Choice Requires="wps">
            <w:drawing>
              <wp:anchor behindDoc="0" distT="101600" distB="0" distL="2540000" distR="0" simplePos="0" locked="0" layoutInCell="1" allowOverlap="1" relativeHeight="83">
                <wp:simplePos x="0" y="0"/>
                <wp:positionH relativeFrom="column">
                  <wp:align>left</wp:align>
                </wp:positionH>
                <wp:positionV relativeFrom="line">
                  <wp:align>top</wp:align>
                </wp:positionV>
                <wp:extent cx="254000" cy="304800"/>
                <wp:effectExtent l="0" t="0" r="0" b="0"/>
                <wp:wrapSquare wrapText="right"/>
                <wp:docPr id="63" name="Frame6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00pt;mso-wrap-distance-right:0pt;mso-wrap-distance-top:8pt;mso-wrap-distance-bottom:0pt;margin-top:8pt;mso-position-vertical:top;mso-position-vertical-relative:text;margin-left:200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Jeffrey B. Murphy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Senior Vice President, Corporate Finance and Development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whose signature appears below constitutes and appoints Jamal H. Haughton and Kevin D. Howard, and each of them singly,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by the following persons in the capacities and on the dates indicated below on behalf of each of Charter Communications Operating, LLC, CCO Holdings, LLC and each of the additional Registrant Guarantors named on the Table of Additional Registrant Guarantors (other than Spectrum Mobile Equipment, LLC). </w:t>
      </w:r>
    </w:p>
    <w:tbl>
      <w:tblPr>
        <w:tblW w:w="8812" w:type="dxa"/>
        <w:jc w:val="left"/>
        <w:tblInd w:w="1393" w:type="dxa"/>
        <w:tblLayout w:type="fixed"/>
        <w:tblCellMar>
          <w:top w:w="0" w:type="dxa"/>
          <w:left w:w="0" w:type="dxa"/>
          <w:bottom w:w="28" w:type="dxa"/>
          <w:right w:w="0" w:type="dxa"/>
        </w:tblCellMar>
      </w:tblPr>
      <w:tblGrid>
        <w:gridCol w:w="124"/>
        <w:gridCol w:w="2687"/>
        <w:gridCol w:w="109"/>
        <w:gridCol w:w="109"/>
        <w:gridCol w:w="4230"/>
        <w:gridCol w:w="109"/>
        <w:gridCol w:w="109"/>
        <w:gridCol w:w="118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68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3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87" w:type="dxa"/>
            <w:tcBorders/>
            <w:tcMar>
              <w:bottom w:w="0" w:type="dxa"/>
            </w:tcMar>
            <w:vAlign w:val="center"/>
          </w:tcPr>
          <w:p>
            <w:pPr>
              <w:pStyle w:val="TableContents"/>
              <w:bidi w:val="0"/>
              <w:spacing w:before="0" w:after="0"/>
              <w:jc w:val="center"/>
              <w:rPr/>
            </w:pPr>
            <w:r>
              <w:rPr>
                <w:spacing w:val="4"/>
              </w:rPr>
              <w:t>/s/ Christopher L. Winfrey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Christopher L. Winfrey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30" w:type="dxa"/>
            <w:tcBorders/>
            <w:tcMar>
              <w:bottom w:w="0" w:type="dxa"/>
            </w:tcMar>
            <w:vAlign w:val="center"/>
          </w:tcPr>
          <w:p>
            <w:pPr>
              <w:pStyle w:val="TableContents"/>
              <w:bidi w:val="0"/>
              <w:spacing w:before="0" w:after="0"/>
              <w:jc w:val="center"/>
              <w:rPr/>
            </w:pPr>
            <w:r>
              <w:rPr>
                <w:spacing w:val="4"/>
              </w:rPr>
              <w:t>President and Chief Executive Officer</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0" w:type="dxa"/>
            <w:tcBorders/>
            <w:tcMar>
              <w:bottom w:w="0" w:type="dxa"/>
            </w:tcMar>
            <w:vAlign w:val="center"/>
          </w:tcPr>
          <w:p>
            <w:pPr>
              <w:pStyle w:val="TableContents"/>
              <w:bidi w:val="0"/>
              <w:spacing w:before="0" w:after="0"/>
              <w:jc w:val="center"/>
              <w:rPr>
                <w:spacing w:val="4"/>
              </w:rPr>
            </w:pPr>
            <w:r>
              <w:rPr>
                <w:spacing w:val="4"/>
              </w:rPr>
              <w:t xml:space="preserve">July 27,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87" w:type="dxa"/>
            <w:tcBorders/>
            <w:tcMar>
              <w:bottom w:w="0" w:type="dxa"/>
            </w:tcMar>
            <w:vAlign w:val="center"/>
          </w:tcPr>
          <w:p>
            <w:pPr>
              <w:pStyle w:val="TableContents"/>
              <w:bidi w:val="0"/>
              <w:spacing w:before="0" w:after="0"/>
              <w:jc w:val="center"/>
              <w:rPr/>
            </w:pPr>
            <w:r>
              <w:rPr>
                <w:spacing w:val="4"/>
              </w:rPr>
              <w:t>/s/ Jessica M. Fischer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Jessica M. Fischer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30" w:type="dxa"/>
            <w:tcBorders/>
            <w:tcMar>
              <w:bottom w:w="0" w:type="dxa"/>
            </w:tcMar>
            <w:vAlign w:val="center"/>
          </w:tcPr>
          <w:p>
            <w:pPr>
              <w:pStyle w:val="TableContents"/>
              <w:bidi w:val="0"/>
              <w:spacing w:before="0" w:after="0"/>
              <w:jc w:val="center"/>
              <w:rPr/>
            </w:pPr>
            <w:r>
              <w:rPr>
                <w:spacing w:val="4"/>
              </w:rPr>
              <w:t>Chief Financial Officer</w:t>
            </w:r>
            <w:r>
              <w:rPr/>
              <w:t xml:space="preserve"> </w:t>
              <w:br/>
            </w:r>
            <w:r>
              <w:rPr>
                <w:spacing w:val="4"/>
              </w:rPr>
              <w:t xml:space="preserve">(Principal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0" w:type="dxa"/>
            <w:tcBorders/>
            <w:tcMar>
              <w:bottom w:w="0" w:type="dxa"/>
            </w:tcMar>
            <w:vAlign w:val="center"/>
          </w:tcPr>
          <w:p>
            <w:pPr>
              <w:pStyle w:val="TableContents"/>
              <w:bidi w:val="0"/>
              <w:spacing w:before="0" w:after="0"/>
              <w:jc w:val="center"/>
              <w:rPr>
                <w:spacing w:val="4"/>
              </w:rPr>
            </w:pPr>
            <w:r>
              <w:rPr>
                <w:spacing w:val="4"/>
              </w:rPr>
              <w:t xml:space="preserve">July 27,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87" w:type="dxa"/>
            <w:tcBorders/>
            <w:tcMar>
              <w:bottom w:w="0" w:type="dxa"/>
            </w:tcMar>
            <w:vAlign w:val="center"/>
          </w:tcPr>
          <w:p>
            <w:pPr>
              <w:pStyle w:val="TableContents"/>
              <w:bidi w:val="0"/>
              <w:spacing w:before="0" w:after="0"/>
              <w:jc w:val="center"/>
              <w:rPr/>
            </w:pPr>
            <w:r>
              <w:rPr>
                <w:spacing w:val="4"/>
              </w:rPr>
              <w:t>/s/ Kevin D. Howard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Kevin D. Howard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30" w:type="dxa"/>
            <w:tcBorders/>
            <w:tcMar>
              <w:bottom w:w="0" w:type="dxa"/>
            </w:tcMar>
            <w:vAlign w:val="center"/>
          </w:tcPr>
          <w:p>
            <w:pPr>
              <w:pStyle w:val="TableContents"/>
              <w:bidi w:val="0"/>
              <w:spacing w:before="0" w:after="0"/>
              <w:jc w:val="center"/>
              <w:rPr/>
            </w:pPr>
            <w:r>
              <w:rPr>
                <w:spacing w:val="4"/>
              </w:rPr>
              <w:t>Executive Vice President,</w:t>
            </w:r>
            <w:r>
              <w:rPr/>
              <w:t xml:space="preserve"> </w:t>
              <w:br/>
            </w:r>
            <w:r>
              <w:rPr>
                <w:spacing w:val="4"/>
              </w:rPr>
              <w:t>Chief Accounting Officer and Controller</w:t>
            </w:r>
            <w:r>
              <w:rPr/>
              <w:t xml:space="preserve"> </w:t>
              <w:br/>
            </w:r>
            <w:r>
              <w:rPr>
                <w:spacing w:val="4"/>
              </w:rPr>
              <w:t xml:space="preserve">(Principal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0" w:type="dxa"/>
            <w:tcBorders/>
            <w:tcMar>
              <w:bottom w:w="0" w:type="dxa"/>
            </w:tcMar>
            <w:vAlign w:val="center"/>
          </w:tcPr>
          <w:p>
            <w:pPr>
              <w:pStyle w:val="TableContents"/>
              <w:bidi w:val="0"/>
              <w:spacing w:before="0" w:after="0"/>
              <w:jc w:val="center"/>
              <w:rPr>
                <w:spacing w:val="4"/>
              </w:rPr>
            </w:pPr>
            <w:r>
              <w:rPr>
                <w:spacing w:val="4"/>
              </w:rPr>
              <w:t xml:space="preserve">July 27,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87"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Charter Communications,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30" w:type="dxa"/>
            <w:tcBorders/>
            <w:tcMar>
              <w:bottom w:w="0" w:type="dxa"/>
            </w:tcMar>
            <w:vAlign w:val="center"/>
          </w:tcPr>
          <w:p>
            <w:pPr>
              <w:pStyle w:val="TableContents"/>
              <w:bidi w:val="0"/>
              <w:spacing w:before="0" w:after="0"/>
              <w:jc w:val="center"/>
              <w:rPr>
                <w:spacing w:val="4"/>
              </w:rPr>
            </w:pPr>
            <w:r>
              <w:rPr>
                <w:spacing w:val="4"/>
              </w:rPr>
              <w:t xml:space="preserve">Manager of Charter Communications Operating,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0" w:type="dxa"/>
            <w:tcBorders/>
            <w:tcMar>
              <w:bottom w:w="0" w:type="dxa"/>
            </w:tcMar>
            <w:vAlign w:val="center"/>
          </w:tcPr>
          <w:p>
            <w:pPr>
              <w:pStyle w:val="TableContents"/>
              <w:bidi w:val="0"/>
              <w:spacing w:before="0" w:after="0"/>
              <w:jc w:val="center"/>
              <w:rPr>
                <w:spacing w:val="4"/>
              </w:rPr>
            </w:pPr>
            <w:r>
              <w:rPr>
                <w:spacing w:val="4"/>
              </w:rPr>
              <w:t xml:space="preserve">July 27,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87"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Charter Communications,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30" w:type="dxa"/>
            <w:tcBorders/>
            <w:tcMar>
              <w:bottom w:w="0" w:type="dxa"/>
            </w:tcMar>
            <w:vAlign w:val="center"/>
          </w:tcPr>
          <w:p>
            <w:pPr>
              <w:pStyle w:val="TableContents"/>
              <w:bidi w:val="0"/>
              <w:spacing w:before="0" w:after="0"/>
              <w:jc w:val="center"/>
              <w:rPr>
                <w:spacing w:val="4"/>
              </w:rPr>
            </w:pPr>
            <w:r>
              <w:rPr>
                <w:spacing w:val="4"/>
              </w:rPr>
              <w:t xml:space="preserve">Manager of CCO Holdings,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0" w:type="dxa"/>
            <w:tcBorders/>
            <w:tcMar>
              <w:bottom w:w="0" w:type="dxa"/>
            </w:tcMar>
            <w:vAlign w:val="center"/>
          </w:tcPr>
          <w:p>
            <w:pPr>
              <w:pStyle w:val="TableContents"/>
              <w:bidi w:val="0"/>
              <w:spacing w:before="0" w:after="0"/>
              <w:jc w:val="center"/>
              <w:rPr/>
            </w:pPr>
            <w:r>
              <w:rPr>
                <w:spacing w:val="4"/>
              </w:rPr>
              <w:t>July 27, 2026</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Kevin D. Howard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84">
                <wp:simplePos x="0" y="0"/>
                <wp:positionH relativeFrom="column">
                  <wp:align>left</wp:align>
                </wp:positionH>
                <wp:positionV relativeFrom="line">
                  <wp:align>top</wp:align>
                </wp:positionV>
                <wp:extent cx="368300" cy="525780"/>
                <wp:effectExtent l="0" t="0" r="0" b="0"/>
                <wp:wrapSquare wrapText="right"/>
                <wp:docPr id="64" name="Frame64"/>
                <a:graphic xmlns:a="http://schemas.openxmlformats.org/drawingml/2006/main">
                  <a:graphicData uri="http://schemas.microsoft.com/office/word/2010/wordprocessingShape">
                    <wps:wsp>
                      <wps:cNvSpPr txBox="1"/>
                      <wps:spPr>
                        <a:xfrm>
                          <a:off x="0" y="0"/>
                          <a:ext cx="368300" cy="525780"/>
                        </a:xfrm>
                        <a:prstGeom prst="rect"/>
                        <a:solidFill>
                          <a:srgbClr val="FFFFFF"/>
                        </a:solidFill>
                      </wps:spPr>
                      <wps:txbx>
                        <w:txbxContent>
                          <w:p>
                            <w:pPr>
                              <w:pStyle w:val="TextBody"/>
                              <w:bidi w:val="0"/>
                              <w:spacing w:lineRule="atLeast" w:line="240" w:before="0" w:after="283"/>
                              <w:jc w:val="left"/>
                              <w:rPr/>
                            </w:pPr>
                            <w:r>
                              <w:rPr>
                                <w:spacing w:val="4"/>
                              </w:rPr>
                              <w:t>* By:</w:t>
                            </w:r>
                            <w:r>
                              <w:rPr/>
                              <w:t xml:space="preserve"> </w:t>
                              <w:br/>
                            </w:r>
                          </w:p>
                        </w:txbxContent>
                      </wps:txbx>
                      <wps:bodyPr anchor="t" lIns="0" tIns="0" rIns="0" bIns="0">
                        <a:noAutofit/>
                      </wps:bodyPr>
                    </wps:wsp>
                  </a:graphicData>
                </a:graphic>
              </wp:anchor>
            </w:drawing>
          </mc:Choice>
          <mc:Fallback>
            <w:pict>
              <v:rect style="position:absolute;rotation:-0;width:29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 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97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9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Kevin D. Howard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Executive Vice President, Chief Accounting Officer and Controller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whose signature appears below constitutes and appoints Danny L. Bowman and Jeffrey B. Murphy, and each of them singly,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by the following persons in the capacities and on the dates indicated below on behalf of Spectrum Mobile Equipment, LLC. </w:t>
      </w:r>
    </w:p>
    <w:tbl>
      <w:tblPr>
        <w:tblW w:w="8812" w:type="dxa"/>
        <w:jc w:val="left"/>
        <w:tblInd w:w="1393" w:type="dxa"/>
        <w:tblLayout w:type="fixed"/>
        <w:tblCellMar>
          <w:top w:w="0" w:type="dxa"/>
          <w:left w:w="0" w:type="dxa"/>
          <w:bottom w:w="28" w:type="dxa"/>
          <w:right w:w="0" w:type="dxa"/>
        </w:tblCellMar>
      </w:tblPr>
      <w:tblGrid>
        <w:gridCol w:w="124"/>
        <w:gridCol w:w="2635"/>
        <w:gridCol w:w="109"/>
        <w:gridCol w:w="109"/>
        <w:gridCol w:w="4320"/>
        <w:gridCol w:w="109"/>
        <w:gridCol w:w="109"/>
        <w:gridCol w:w="1141"/>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63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2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35" w:type="dxa"/>
            <w:tcBorders/>
            <w:tcMar>
              <w:bottom w:w="0" w:type="dxa"/>
            </w:tcMar>
            <w:vAlign w:val="center"/>
          </w:tcPr>
          <w:p>
            <w:pPr>
              <w:pStyle w:val="TableContents"/>
              <w:bidi w:val="0"/>
              <w:spacing w:before="0" w:after="0"/>
              <w:jc w:val="center"/>
              <w:rPr/>
            </w:pPr>
            <w:r>
              <w:rPr>
                <w:spacing w:val="4"/>
              </w:rPr>
              <w:t>/s/ Danny L. Bowman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Danny L. Bowman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20" w:type="dxa"/>
            <w:tcBorders/>
            <w:tcMar>
              <w:bottom w:w="0" w:type="dxa"/>
            </w:tcMar>
            <w:vAlign w:val="center"/>
          </w:tcPr>
          <w:p>
            <w:pPr>
              <w:pStyle w:val="TableContents"/>
              <w:bidi w:val="0"/>
              <w:spacing w:before="0" w:after="0"/>
              <w:jc w:val="center"/>
              <w:rPr/>
            </w:pPr>
            <w:r>
              <w:rPr>
                <w:spacing w:val="4"/>
              </w:rPr>
              <w:t>President</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0"/>
              <w:jc w:val="center"/>
              <w:rPr>
                <w:spacing w:val="4"/>
              </w:rPr>
            </w:pPr>
            <w:r>
              <w:rPr>
                <w:spacing w:val="4"/>
              </w:rPr>
              <w:t xml:space="preserve">July 27,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35" w:type="dxa"/>
            <w:tcBorders/>
            <w:tcMar>
              <w:bottom w:w="0" w:type="dxa"/>
            </w:tcMar>
            <w:vAlign w:val="center"/>
          </w:tcPr>
          <w:p>
            <w:pPr>
              <w:pStyle w:val="TableContents"/>
              <w:bidi w:val="0"/>
              <w:spacing w:before="0" w:after="0"/>
              <w:jc w:val="center"/>
              <w:rPr/>
            </w:pPr>
            <w:r>
              <w:rPr>
                <w:spacing w:val="4"/>
              </w:rPr>
              <w:t>/s/ Jeffrey B. Murphy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Jeffrey B. Murphy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20" w:type="dxa"/>
            <w:tcBorders/>
            <w:tcMar>
              <w:bottom w:w="0" w:type="dxa"/>
            </w:tcMar>
            <w:vAlign w:val="center"/>
          </w:tcPr>
          <w:p>
            <w:pPr>
              <w:pStyle w:val="TableContents"/>
              <w:bidi w:val="0"/>
              <w:spacing w:before="0" w:after="0"/>
              <w:jc w:val="center"/>
              <w:rPr/>
            </w:pPr>
            <w:r>
              <w:rPr>
                <w:spacing w:val="4"/>
              </w:rPr>
              <w:t>Senior Vice President, Corporate Finance and Development</w:t>
            </w:r>
            <w:r>
              <w:rPr/>
              <w:t xml:space="preserve"> </w:t>
              <w:br/>
            </w:r>
            <w:r>
              <w:rPr>
                <w:spacing w:val="4"/>
              </w:rPr>
              <w:t xml:space="preserve">(Principal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0"/>
              <w:jc w:val="center"/>
              <w:rPr>
                <w:spacing w:val="4"/>
              </w:rPr>
            </w:pPr>
            <w:r>
              <w:rPr>
                <w:spacing w:val="4"/>
              </w:rPr>
              <w:t xml:space="preserve">July 27,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35" w:type="dxa"/>
            <w:tcBorders/>
            <w:tcMar>
              <w:bottom w:w="0" w:type="dxa"/>
            </w:tcMar>
            <w:vAlign w:val="center"/>
          </w:tcPr>
          <w:p>
            <w:pPr>
              <w:pStyle w:val="TableContents"/>
              <w:bidi w:val="0"/>
              <w:spacing w:before="0" w:after="0"/>
              <w:jc w:val="center"/>
              <w:rPr/>
            </w:pPr>
            <w:r>
              <w:rPr>
                <w:spacing w:val="4"/>
              </w:rPr>
              <w:t>/s/ Jason Schlueter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Jason Schlueter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20" w:type="dxa"/>
            <w:tcBorders/>
            <w:tcMar>
              <w:bottom w:w="0" w:type="dxa"/>
            </w:tcMar>
            <w:vAlign w:val="center"/>
          </w:tcPr>
          <w:p>
            <w:pPr>
              <w:pStyle w:val="TableContents"/>
              <w:bidi w:val="0"/>
              <w:spacing w:before="0" w:after="0"/>
              <w:jc w:val="center"/>
              <w:rPr/>
            </w:pPr>
            <w:r>
              <w:rPr>
                <w:spacing w:val="4"/>
              </w:rPr>
              <w:t>Vice President, Risk Management and Treasury</w:t>
            </w:r>
            <w:r>
              <w:rPr/>
              <w:t xml:space="preserve"> </w:t>
              <w:br/>
            </w:r>
            <w:r>
              <w:rPr>
                <w:spacing w:val="4"/>
              </w:rPr>
              <w:t xml:space="preserve">(Principal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0"/>
              <w:jc w:val="center"/>
              <w:rPr>
                <w:spacing w:val="4"/>
              </w:rPr>
            </w:pPr>
            <w:r>
              <w:rPr>
                <w:spacing w:val="4"/>
              </w:rPr>
              <w:t xml:space="preserve">July 27,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35"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Charter Communications,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20" w:type="dxa"/>
            <w:tcBorders/>
            <w:tcMar>
              <w:bottom w:w="0" w:type="dxa"/>
            </w:tcMar>
            <w:vAlign w:val="center"/>
          </w:tcPr>
          <w:p>
            <w:pPr>
              <w:pStyle w:val="TableContents"/>
              <w:bidi w:val="0"/>
              <w:spacing w:before="0" w:after="0"/>
              <w:jc w:val="center"/>
              <w:rPr>
                <w:spacing w:val="4"/>
              </w:rPr>
            </w:pPr>
            <w:r>
              <w:rPr>
                <w:spacing w:val="4"/>
              </w:rPr>
              <w:t xml:space="preserve">Manager of Spectrum Mobile Equipment,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1" w:type="dxa"/>
            <w:tcBorders/>
            <w:tcMar>
              <w:bottom w:w="0" w:type="dxa"/>
            </w:tcMar>
            <w:vAlign w:val="center"/>
          </w:tcPr>
          <w:p>
            <w:pPr>
              <w:pStyle w:val="TableContents"/>
              <w:bidi w:val="0"/>
              <w:spacing w:before="0" w:after="0"/>
              <w:jc w:val="center"/>
              <w:rPr/>
            </w:pPr>
            <w:r>
              <w:rPr>
                <w:spacing w:val="4"/>
              </w:rPr>
              <w:t>July 27, 2026</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9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Kevin D. Howard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85">
                <wp:simplePos x="0" y="0"/>
                <wp:positionH relativeFrom="column">
                  <wp:align>left</wp:align>
                </wp:positionH>
                <wp:positionV relativeFrom="line">
                  <wp:align>top</wp:align>
                </wp:positionV>
                <wp:extent cx="368300" cy="525780"/>
                <wp:effectExtent l="0" t="0" r="0" b="0"/>
                <wp:wrapSquare wrapText="right"/>
                <wp:docPr id="65" name="Frame65"/>
                <a:graphic xmlns:a="http://schemas.openxmlformats.org/drawingml/2006/main">
                  <a:graphicData uri="http://schemas.microsoft.com/office/word/2010/wordprocessingShape">
                    <wps:wsp>
                      <wps:cNvSpPr txBox="1"/>
                      <wps:spPr>
                        <a:xfrm>
                          <a:off x="0" y="0"/>
                          <a:ext cx="368300" cy="525780"/>
                        </a:xfrm>
                        <a:prstGeom prst="rect"/>
                        <a:solidFill>
                          <a:srgbClr val="FFFFFF"/>
                        </a:solidFill>
                      </wps:spPr>
                      <wps:txbx>
                        <w:txbxContent>
                          <w:p>
                            <w:pPr>
                              <w:pStyle w:val="TextBody"/>
                              <w:bidi w:val="0"/>
                              <w:spacing w:lineRule="atLeast" w:line="240" w:before="0" w:after="283"/>
                              <w:jc w:val="left"/>
                              <w:rPr/>
                            </w:pPr>
                            <w:r>
                              <w:rPr>
                                <w:spacing w:val="4"/>
                              </w:rPr>
                              <w:t>* By:</w:t>
                            </w:r>
                            <w:r>
                              <w:rPr/>
                              <w:t xml:space="preserve"> </w:t>
                              <w:br/>
                            </w:r>
                          </w:p>
                        </w:txbxContent>
                      </wps:txbx>
                      <wps:bodyPr anchor="t" lIns="0" tIns="0" rIns="0" bIns="0">
                        <a:noAutofit/>
                      </wps:bodyPr>
                    </wps:wsp>
                  </a:graphicData>
                </a:graphic>
              </wp:anchor>
            </w:drawing>
          </mc:Choice>
          <mc:Fallback>
            <w:pict>
              <v:rect style="position:absolute;rotation:-0;width:29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 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97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9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Kevin D. Howard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Executive Vice President, Chief Accounting Officer and Controller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8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whose signature appears below constitutes and appoints Jamal H. Haughton and Kevin D. Howard, and each of them singly,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by the following persons in the capacities and on the dates indicated below on behalf of each of Charter Communications Operating Capital Corp. and CCO Holdings Capital Corp. </w:t>
      </w:r>
    </w:p>
    <w:tbl>
      <w:tblPr>
        <w:tblW w:w="8812" w:type="dxa"/>
        <w:jc w:val="left"/>
        <w:tblInd w:w="1393" w:type="dxa"/>
        <w:tblLayout w:type="fixed"/>
        <w:tblCellMar>
          <w:top w:w="0" w:type="dxa"/>
          <w:left w:w="0" w:type="dxa"/>
          <w:bottom w:w="28" w:type="dxa"/>
          <w:right w:w="0" w:type="dxa"/>
        </w:tblCellMar>
      </w:tblPr>
      <w:tblGrid>
        <w:gridCol w:w="124"/>
        <w:gridCol w:w="2172"/>
        <w:gridCol w:w="109"/>
        <w:gridCol w:w="109"/>
        <w:gridCol w:w="4793"/>
        <w:gridCol w:w="109"/>
        <w:gridCol w:w="109"/>
        <w:gridCol w:w="1131"/>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17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9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72" w:type="dxa"/>
            <w:tcBorders/>
            <w:tcMar>
              <w:bottom w:w="0" w:type="dxa"/>
            </w:tcMar>
            <w:vAlign w:val="center"/>
          </w:tcPr>
          <w:p>
            <w:pPr>
              <w:pStyle w:val="TableContents"/>
              <w:bidi w:val="0"/>
              <w:spacing w:before="0" w:after="0"/>
              <w:jc w:val="center"/>
              <w:rPr/>
            </w:pPr>
            <w:r>
              <w:rPr>
                <w:spacing w:val="4"/>
              </w:rPr>
              <w:t>/s/ Christopher L. Winfrey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Christopher L. Winfrey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93" w:type="dxa"/>
            <w:tcBorders/>
            <w:tcMar>
              <w:bottom w:w="0" w:type="dxa"/>
            </w:tcMar>
            <w:vAlign w:val="center"/>
          </w:tcPr>
          <w:p>
            <w:pPr>
              <w:pStyle w:val="TableContents"/>
              <w:bidi w:val="0"/>
              <w:spacing w:before="0" w:after="0"/>
              <w:jc w:val="center"/>
              <w:rPr/>
            </w:pPr>
            <w:r>
              <w:rPr>
                <w:spacing w:val="4"/>
              </w:rPr>
              <w:t>President and Chief Executive Officer</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1" w:type="dxa"/>
            <w:tcBorders/>
            <w:tcMar>
              <w:bottom w:w="0" w:type="dxa"/>
            </w:tcMar>
            <w:vAlign w:val="center"/>
          </w:tcPr>
          <w:p>
            <w:pPr>
              <w:pStyle w:val="TableContents"/>
              <w:bidi w:val="0"/>
              <w:spacing w:before="0" w:after="0"/>
              <w:jc w:val="center"/>
              <w:rPr/>
            </w:pPr>
            <w:r>
              <w:rPr>
                <w:spacing w:val="4"/>
              </w:rPr>
              <w:t>July 27, 2026</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72" w:type="dxa"/>
            <w:tcBorders/>
            <w:tcMar>
              <w:bottom w:w="0" w:type="dxa"/>
            </w:tcMar>
            <w:vAlign w:val="center"/>
          </w:tcPr>
          <w:p>
            <w:pPr>
              <w:pStyle w:val="TableContents"/>
              <w:bidi w:val="0"/>
              <w:spacing w:before="0" w:after="0"/>
              <w:jc w:val="center"/>
              <w:rPr/>
            </w:pPr>
            <w:r>
              <w:rPr>
                <w:spacing w:val="4"/>
              </w:rPr>
              <w:t>/s/ Jessica M. Fischer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Jessica M. Fischer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93" w:type="dxa"/>
            <w:tcBorders/>
            <w:tcMar>
              <w:bottom w:w="0" w:type="dxa"/>
            </w:tcMar>
            <w:vAlign w:val="center"/>
          </w:tcPr>
          <w:p>
            <w:pPr>
              <w:pStyle w:val="TableContents"/>
              <w:bidi w:val="0"/>
              <w:spacing w:before="0" w:after="0"/>
              <w:jc w:val="center"/>
              <w:rPr/>
            </w:pPr>
            <w:r>
              <w:rPr>
                <w:spacing w:val="4"/>
              </w:rPr>
              <w:t>Chief Financial Officer</w:t>
            </w:r>
            <w:r>
              <w:rPr/>
              <w:t xml:space="preserve"> </w:t>
              <w:br/>
            </w:r>
            <w:r>
              <w:rPr>
                <w:spacing w:val="4"/>
              </w:rPr>
              <w:t xml:space="preserve">(Principal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1" w:type="dxa"/>
            <w:tcBorders/>
            <w:tcMar>
              <w:bottom w:w="0" w:type="dxa"/>
            </w:tcMar>
            <w:vAlign w:val="center"/>
          </w:tcPr>
          <w:p>
            <w:pPr>
              <w:pStyle w:val="TableContents"/>
              <w:bidi w:val="0"/>
              <w:spacing w:before="0" w:after="0"/>
              <w:jc w:val="center"/>
              <w:rPr/>
            </w:pPr>
            <w:r>
              <w:rPr>
                <w:spacing w:val="4"/>
              </w:rPr>
              <w:t>July 27, 2026</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72" w:type="dxa"/>
            <w:tcBorders/>
            <w:tcMar>
              <w:bottom w:w="0" w:type="dxa"/>
            </w:tcMar>
            <w:vAlign w:val="center"/>
          </w:tcPr>
          <w:p>
            <w:pPr>
              <w:pStyle w:val="TableContents"/>
              <w:bidi w:val="0"/>
              <w:spacing w:before="0" w:after="0"/>
              <w:jc w:val="center"/>
              <w:rPr/>
            </w:pPr>
            <w:r>
              <w:rPr>
                <w:spacing w:val="4"/>
              </w:rPr>
              <w:t>/s/ Kevin D. Howard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Kevin D. Howard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93" w:type="dxa"/>
            <w:tcBorders/>
            <w:tcMar>
              <w:bottom w:w="0" w:type="dxa"/>
            </w:tcMar>
            <w:vAlign w:val="center"/>
          </w:tcPr>
          <w:p>
            <w:pPr>
              <w:pStyle w:val="TableContents"/>
              <w:bidi w:val="0"/>
              <w:spacing w:before="0" w:after="0"/>
              <w:jc w:val="center"/>
              <w:rPr/>
            </w:pPr>
            <w:r>
              <w:rPr>
                <w:spacing w:val="4"/>
              </w:rPr>
              <w:t>Executive Vice President,</w:t>
            </w:r>
            <w:r>
              <w:rPr/>
              <w:t xml:space="preserve"> </w:t>
              <w:br/>
            </w:r>
            <w:r>
              <w:rPr>
                <w:spacing w:val="4"/>
              </w:rPr>
              <w:t>Chief Accounting Officer and Controller</w:t>
            </w:r>
            <w:r>
              <w:rPr/>
              <w:t xml:space="preserve"> </w:t>
              <w:br/>
            </w:r>
            <w:r>
              <w:rPr>
                <w:spacing w:val="4"/>
              </w:rPr>
              <w:t xml:space="preserve">(Principal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1" w:type="dxa"/>
            <w:tcBorders/>
            <w:tcMar>
              <w:bottom w:w="0" w:type="dxa"/>
            </w:tcMar>
            <w:vAlign w:val="center"/>
          </w:tcPr>
          <w:p>
            <w:pPr>
              <w:pStyle w:val="TableContents"/>
              <w:bidi w:val="0"/>
              <w:spacing w:before="0" w:after="0"/>
              <w:jc w:val="center"/>
              <w:rPr/>
            </w:pPr>
            <w:r>
              <w:rPr>
                <w:spacing w:val="4"/>
              </w:rPr>
              <w:t>July 27, 2026</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72" w:type="dxa"/>
            <w:tcBorders/>
            <w:tcMar>
              <w:bottom w:w="0" w:type="dxa"/>
            </w:tcMar>
            <w:vAlign w:val="center"/>
          </w:tcPr>
          <w:p>
            <w:pPr>
              <w:pStyle w:val="TableContents"/>
              <w:bidi w:val="0"/>
              <w:spacing w:before="0" w:after="0"/>
              <w:jc w:val="center"/>
              <w:rPr/>
            </w:pPr>
            <w:r>
              <w:rPr>
                <w:spacing w:val="4"/>
              </w:rPr>
              <w:t>/s/ Jeffrey B. Murphy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Jeffrey B. Murphy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93" w:type="dxa"/>
            <w:tcBorders/>
            <w:tcMar>
              <w:bottom w:w="0" w:type="dxa"/>
            </w:tcMar>
            <w:vAlign w:val="center"/>
          </w:tcPr>
          <w:p>
            <w:pPr>
              <w:pStyle w:val="TableContents"/>
              <w:bidi w:val="0"/>
              <w:spacing w:before="0" w:after="0"/>
              <w:jc w:val="center"/>
              <w:rPr>
                <w:spacing w:val="4"/>
              </w:rPr>
            </w:pPr>
            <w:r>
              <w:rPr>
                <w:spacing w:val="4"/>
              </w:rPr>
              <w:t xml:space="preserve">Sole Director of Charter Communications Operating Capital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1" w:type="dxa"/>
            <w:tcBorders/>
            <w:tcMar>
              <w:bottom w:w="0" w:type="dxa"/>
            </w:tcMar>
            <w:vAlign w:val="center"/>
          </w:tcPr>
          <w:p>
            <w:pPr>
              <w:pStyle w:val="TableContents"/>
              <w:bidi w:val="0"/>
              <w:spacing w:before="0" w:after="0"/>
              <w:jc w:val="center"/>
              <w:rPr/>
            </w:pPr>
            <w:r>
              <w:rPr>
                <w:spacing w:val="4"/>
              </w:rPr>
              <w:t>July 27, 2026</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72" w:type="dxa"/>
            <w:tcBorders/>
            <w:tcMar>
              <w:bottom w:w="0" w:type="dxa"/>
            </w:tcMar>
            <w:vAlign w:val="center"/>
          </w:tcPr>
          <w:p>
            <w:pPr>
              <w:pStyle w:val="TableContents"/>
              <w:bidi w:val="0"/>
              <w:spacing w:before="0" w:after="0"/>
              <w:jc w:val="center"/>
              <w:rPr/>
            </w:pPr>
            <w:r>
              <w:rPr>
                <w:spacing w:val="4"/>
              </w:rPr>
              <w:t>/s/ Jeffrey B. Murphy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Jeffrey B. Murphy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93" w:type="dxa"/>
            <w:tcBorders/>
            <w:tcMar>
              <w:bottom w:w="0" w:type="dxa"/>
            </w:tcMar>
            <w:vAlign w:val="center"/>
          </w:tcPr>
          <w:p>
            <w:pPr>
              <w:pStyle w:val="TableContents"/>
              <w:bidi w:val="0"/>
              <w:spacing w:before="0" w:after="0"/>
              <w:jc w:val="center"/>
              <w:rPr>
                <w:spacing w:val="4"/>
              </w:rPr>
            </w:pPr>
            <w:r>
              <w:rPr>
                <w:spacing w:val="4"/>
              </w:rPr>
              <w:t xml:space="preserve">Sole Director of CCO Holdings Capital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1" w:type="dxa"/>
            <w:tcBorders/>
            <w:tcMar>
              <w:bottom w:w="0" w:type="dxa"/>
            </w:tcMar>
            <w:vAlign w:val="center"/>
          </w:tcPr>
          <w:p>
            <w:pPr>
              <w:pStyle w:val="TableContents"/>
              <w:bidi w:val="0"/>
              <w:spacing w:before="0" w:after="0"/>
              <w:jc w:val="center"/>
              <w:rPr/>
            </w:pPr>
            <w:r>
              <w:rPr>
                <w:spacing w:val="4"/>
              </w:rPr>
              <w:t>July 27, 2026</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whose signature appears below constitutes and appoints Jamal H. Haughton and Kevin D. Howard, and each of them singly,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by the following persons in the capacities and on the dates indicated below on behalf of Charter Communications, Inc. </w:t>
      </w:r>
    </w:p>
    <w:tbl>
      <w:tblPr>
        <w:tblW w:w="8812" w:type="dxa"/>
        <w:jc w:val="left"/>
        <w:tblInd w:w="1393" w:type="dxa"/>
        <w:tblLayout w:type="fixed"/>
        <w:tblCellMar>
          <w:top w:w="0" w:type="dxa"/>
          <w:left w:w="0" w:type="dxa"/>
          <w:bottom w:w="28" w:type="dxa"/>
          <w:right w:w="0" w:type="dxa"/>
        </w:tblCellMar>
      </w:tblPr>
      <w:tblGrid>
        <w:gridCol w:w="124"/>
        <w:gridCol w:w="2501"/>
        <w:gridCol w:w="109"/>
        <w:gridCol w:w="109"/>
        <w:gridCol w:w="4255"/>
        <w:gridCol w:w="109"/>
        <w:gridCol w:w="109"/>
        <w:gridCol w:w="1341"/>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50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5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1" w:type="dxa"/>
            <w:tcBorders/>
            <w:tcMar>
              <w:bottom w:w="0" w:type="dxa"/>
            </w:tcMar>
            <w:vAlign w:val="center"/>
          </w:tcPr>
          <w:p>
            <w:pPr>
              <w:pStyle w:val="TableContents"/>
              <w:bidi w:val="0"/>
              <w:spacing w:before="0" w:after="0"/>
              <w:jc w:val="center"/>
              <w:rPr/>
            </w:pPr>
            <w:r>
              <w:rPr>
                <w:spacing w:val="4"/>
              </w:rPr>
              <w:t>/s/ Christopher L. Winfrey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Christopher L. Winfrey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55" w:type="dxa"/>
            <w:tcBorders/>
            <w:tcMar>
              <w:bottom w:w="0" w:type="dxa"/>
            </w:tcMar>
            <w:vAlign w:val="center"/>
          </w:tcPr>
          <w:p>
            <w:pPr>
              <w:pStyle w:val="TableContents"/>
              <w:bidi w:val="0"/>
              <w:spacing w:before="0" w:after="0"/>
              <w:jc w:val="center"/>
              <w:rPr/>
            </w:pPr>
            <w:r>
              <w:rPr>
                <w:spacing w:val="4"/>
              </w:rPr>
              <w:t>President and Chief Executive Officer, Director</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1" w:type="dxa"/>
            <w:tcBorders/>
            <w:tcMar>
              <w:bottom w:w="0" w:type="dxa"/>
            </w:tcMar>
            <w:vAlign w:val="center"/>
          </w:tcPr>
          <w:p>
            <w:pPr>
              <w:pStyle w:val="TableContents"/>
              <w:bidi w:val="0"/>
              <w:spacing w:before="0" w:after="0"/>
              <w:jc w:val="center"/>
              <w:rPr/>
            </w:pPr>
            <w:r>
              <w:rPr>
                <w:spacing w:val="4"/>
              </w:rPr>
              <w:t>July 27, 2026</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1" w:type="dxa"/>
            <w:tcBorders/>
            <w:tcMar>
              <w:bottom w:w="0" w:type="dxa"/>
            </w:tcMar>
            <w:vAlign w:val="center"/>
          </w:tcPr>
          <w:p>
            <w:pPr>
              <w:pStyle w:val="TableContents"/>
              <w:bidi w:val="0"/>
              <w:spacing w:before="0" w:after="0"/>
              <w:jc w:val="center"/>
              <w:rPr/>
            </w:pPr>
            <w:r>
              <w:rPr>
                <w:spacing w:val="4"/>
              </w:rPr>
              <w:t>/s/ Jessica M. Fischer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Jessica M. Fischer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55" w:type="dxa"/>
            <w:tcBorders/>
            <w:tcMar>
              <w:bottom w:w="0" w:type="dxa"/>
            </w:tcMar>
            <w:vAlign w:val="center"/>
          </w:tcPr>
          <w:p>
            <w:pPr>
              <w:pStyle w:val="TableContents"/>
              <w:bidi w:val="0"/>
              <w:spacing w:before="0" w:after="0"/>
              <w:jc w:val="center"/>
              <w:rPr/>
            </w:pPr>
            <w:r>
              <w:rPr>
                <w:spacing w:val="4"/>
              </w:rPr>
              <w:t>Chief Financial Officer</w:t>
            </w:r>
            <w:r>
              <w:rPr/>
              <w:t xml:space="preserve"> </w:t>
              <w:br/>
            </w:r>
            <w:r>
              <w:rPr>
                <w:spacing w:val="4"/>
              </w:rPr>
              <w:t xml:space="preserve">(Principal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1" w:type="dxa"/>
            <w:tcBorders/>
            <w:tcMar>
              <w:bottom w:w="0" w:type="dxa"/>
            </w:tcMar>
            <w:vAlign w:val="center"/>
          </w:tcPr>
          <w:p>
            <w:pPr>
              <w:pStyle w:val="TableContents"/>
              <w:bidi w:val="0"/>
              <w:spacing w:before="0" w:after="0"/>
              <w:jc w:val="center"/>
              <w:rPr/>
            </w:pPr>
            <w:r>
              <w:rPr>
                <w:spacing w:val="4"/>
              </w:rPr>
              <w:t>July 27, 2026</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1" w:type="dxa"/>
            <w:tcBorders/>
            <w:tcMar>
              <w:bottom w:w="0" w:type="dxa"/>
            </w:tcMar>
            <w:vAlign w:val="center"/>
          </w:tcPr>
          <w:p>
            <w:pPr>
              <w:pStyle w:val="TableContents"/>
              <w:bidi w:val="0"/>
              <w:spacing w:before="0" w:after="0"/>
              <w:jc w:val="center"/>
              <w:rPr/>
            </w:pPr>
            <w:r>
              <w:rPr>
                <w:spacing w:val="4"/>
              </w:rPr>
              <w:t>/s/ Kevin D. Howard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Kevin D. Howard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55" w:type="dxa"/>
            <w:tcBorders/>
            <w:tcMar>
              <w:bottom w:w="0" w:type="dxa"/>
            </w:tcMar>
            <w:vAlign w:val="center"/>
          </w:tcPr>
          <w:p>
            <w:pPr>
              <w:pStyle w:val="TableContents"/>
              <w:bidi w:val="0"/>
              <w:spacing w:before="0" w:after="0"/>
              <w:jc w:val="center"/>
              <w:rPr/>
            </w:pPr>
            <w:r>
              <w:rPr>
                <w:spacing w:val="4"/>
              </w:rPr>
              <w:t>Executive Vice President,</w:t>
            </w:r>
            <w:r>
              <w:rPr/>
              <w:t xml:space="preserve"> </w:t>
              <w:br/>
            </w:r>
            <w:r>
              <w:rPr>
                <w:spacing w:val="4"/>
              </w:rPr>
              <w:t>Chief Accounting Officer and Controller</w:t>
            </w:r>
            <w:r>
              <w:rPr/>
              <w:t xml:space="preserve"> </w:t>
              <w:br/>
            </w:r>
            <w:r>
              <w:rPr>
                <w:spacing w:val="4"/>
              </w:rPr>
              <w:t xml:space="preserve">(Principal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1" w:type="dxa"/>
            <w:tcBorders/>
            <w:tcMar>
              <w:bottom w:w="0" w:type="dxa"/>
            </w:tcMar>
            <w:vAlign w:val="center"/>
          </w:tcPr>
          <w:p>
            <w:pPr>
              <w:pStyle w:val="TableContents"/>
              <w:bidi w:val="0"/>
              <w:spacing w:before="0" w:after="0"/>
              <w:jc w:val="center"/>
              <w:rPr/>
            </w:pPr>
            <w:r>
              <w:rPr>
                <w:spacing w:val="4"/>
              </w:rPr>
              <w:t>July 27, 2026</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1" w:type="dxa"/>
            <w:tcBorders/>
            <w:tcMar>
              <w:bottom w:w="0" w:type="dxa"/>
            </w:tcMar>
            <w:vAlign w:val="center"/>
          </w:tcPr>
          <w:p>
            <w:pPr>
              <w:pStyle w:val="TableContents"/>
              <w:bidi w:val="0"/>
              <w:spacing w:before="0" w:after="0"/>
              <w:jc w:val="center"/>
              <w:rPr/>
            </w:pPr>
            <w:r>
              <w:rPr>
                <w:spacing w:val="4"/>
              </w:rPr>
              <w:t>/s/ W. Lance Conn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W. Lance Conn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5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1" w:type="dxa"/>
            <w:tcBorders/>
            <w:tcMar>
              <w:bottom w:w="0" w:type="dxa"/>
            </w:tcMar>
            <w:vAlign w:val="center"/>
          </w:tcPr>
          <w:p>
            <w:pPr>
              <w:pStyle w:val="TableContents"/>
              <w:bidi w:val="0"/>
              <w:spacing w:before="0" w:after="0"/>
              <w:jc w:val="center"/>
              <w:rPr/>
            </w:pPr>
            <w:r>
              <w:rPr>
                <w:spacing w:val="4"/>
              </w:rPr>
              <w:t>July 27, 2026</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1" w:type="dxa"/>
            <w:tcBorders/>
            <w:tcMar>
              <w:bottom w:w="0" w:type="dxa"/>
            </w:tcMar>
            <w:vAlign w:val="center"/>
          </w:tcPr>
          <w:p>
            <w:pPr>
              <w:pStyle w:val="TableContents"/>
              <w:bidi w:val="0"/>
              <w:spacing w:before="0" w:after="0"/>
              <w:jc w:val="center"/>
              <w:rPr/>
            </w:pPr>
            <w:r>
              <w:rPr>
                <w:spacing w:val="4"/>
              </w:rPr>
              <w:t>/s/ Wade Davis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Wade Davis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5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1" w:type="dxa"/>
            <w:tcBorders/>
            <w:tcMar>
              <w:bottom w:w="0" w:type="dxa"/>
            </w:tcMar>
            <w:vAlign w:val="center"/>
          </w:tcPr>
          <w:p>
            <w:pPr>
              <w:pStyle w:val="TableContents"/>
              <w:bidi w:val="0"/>
              <w:spacing w:before="0" w:after="0"/>
              <w:jc w:val="center"/>
              <w:rPr/>
            </w:pPr>
            <w:r>
              <w:rPr>
                <w:spacing w:val="4"/>
              </w:rPr>
              <w:t>July 27, 2026</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1" w:type="dxa"/>
            <w:tcBorders/>
            <w:tcMar>
              <w:bottom w:w="0" w:type="dxa"/>
            </w:tcMar>
            <w:vAlign w:val="center"/>
          </w:tcPr>
          <w:p>
            <w:pPr>
              <w:pStyle w:val="TableContents"/>
              <w:bidi w:val="0"/>
              <w:spacing w:before="0" w:after="0"/>
              <w:jc w:val="center"/>
              <w:rPr/>
            </w:pPr>
            <w:r>
              <w:rPr>
                <w:spacing w:val="4"/>
              </w:rPr>
              <w:t>/s/ Kim C. Goodman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Kim C. Goodman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5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1" w:type="dxa"/>
            <w:tcBorders/>
            <w:tcMar>
              <w:bottom w:w="0" w:type="dxa"/>
            </w:tcMar>
            <w:vAlign w:val="center"/>
          </w:tcPr>
          <w:p>
            <w:pPr>
              <w:pStyle w:val="TableContents"/>
              <w:bidi w:val="0"/>
              <w:spacing w:before="0" w:after="0"/>
              <w:jc w:val="center"/>
              <w:rPr/>
            </w:pPr>
            <w:r>
              <w:rPr>
                <w:spacing w:val="4"/>
              </w:rPr>
              <w:t>July 27, 2026</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1" w:type="dxa"/>
            <w:tcBorders/>
            <w:tcMar>
              <w:bottom w:w="0" w:type="dxa"/>
            </w:tcMar>
            <w:vAlign w:val="center"/>
          </w:tcPr>
          <w:p>
            <w:pPr>
              <w:pStyle w:val="TableContents"/>
              <w:bidi w:val="0"/>
              <w:spacing w:before="0" w:after="0"/>
              <w:jc w:val="center"/>
              <w:rPr/>
            </w:pPr>
            <w:r>
              <w:rPr>
                <w:spacing w:val="4"/>
              </w:rPr>
              <w:t>/s/ John D. Markley, Jr.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John D. Markley, Jr.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5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1" w:type="dxa"/>
            <w:tcBorders/>
            <w:tcMar>
              <w:bottom w:w="0" w:type="dxa"/>
            </w:tcMar>
            <w:vAlign w:val="center"/>
          </w:tcPr>
          <w:p>
            <w:pPr>
              <w:pStyle w:val="TableContents"/>
              <w:bidi w:val="0"/>
              <w:spacing w:before="0" w:after="0"/>
              <w:jc w:val="center"/>
              <w:rPr/>
            </w:pPr>
            <w:r>
              <w:rPr>
                <w:spacing w:val="4"/>
              </w:rPr>
              <w:t>July 27, 2026</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1" w:type="dxa"/>
            <w:tcBorders/>
            <w:tcMar>
              <w:bottom w:w="0" w:type="dxa"/>
            </w:tcMar>
            <w:vAlign w:val="center"/>
          </w:tcPr>
          <w:p>
            <w:pPr>
              <w:pStyle w:val="TableContents"/>
              <w:bidi w:val="0"/>
              <w:spacing w:before="0" w:after="0"/>
              <w:jc w:val="center"/>
              <w:rPr/>
            </w:pPr>
            <w:r>
              <w:rPr>
                <w:spacing w:val="4"/>
              </w:rPr>
              <w:t>/s/ Steven Miron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Steven. Miron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5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1" w:type="dxa"/>
            <w:tcBorders/>
            <w:tcMar>
              <w:bottom w:w="0" w:type="dxa"/>
            </w:tcMar>
            <w:vAlign w:val="center"/>
          </w:tcPr>
          <w:p>
            <w:pPr>
              <w:pStyle w:val="TableContents"/>
              <w:bidi w:val="0"/>
              <w:spacing w:before="0" w:after="0"/>
              <w:jc w:val="center"/>
              <w:rPr/>
            </w:pPr>
            <w:r>
              <w:rPr>
                <w:spacing w:val="4"/>
              </w:rPr>
              <w:t>July 27, 2026</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1" w:type="dxa"/>
            <w:tcBorders/>
            <w:tcMar>
              <w:bottom w:w="0" w:type="dxa"/>
            </w:tcMar>
            <w:vAlign w:val="center"/>
          </w:tcPr>
          <w:p>
            <w:pPr>
              <w:pStyle w:val="TableContents"/>
              <w:bidi w:val="0"/>
              <w:spacing w:before="0" w:after="0"/>
              <w:jc w:val="center"/>
              <w:rPr/>
            </w:pPr>
            <w:r>
              <w:rPr>
                <w:spacing w:val="4"/>
              </w:rPr>
              <w:t>/s/ Balan Nair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Balan Nair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5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1" w:type="dxa"/>
            <w:tcBorders/>
            <w:tcMar>
              <w:bottom w:w="0" w:type="dxa"/>
            </w:tcMar>
            <w:vAlign w:val="center"/>
          </w:tcPr>
          <w:p>
            <w:pPr>
              <w:pStyle w:val="TableContents"/>
              <w:bidi w:val="0"/>
              <w:spacing w:before="0" w:after="0"/>
              <w:jc w:val="center"/>
              <w:rPr/>
            </w:pPr>
            <w:r>
              <w:rPr>
                <w:spacing w:val="4"/>
              </w:rPr>
              <w:t>July 27, 2026</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01" w:type="dxa"/>
            <w:tcBorders/>
            <w:tcMar>
              <w:bottom w:w="0" w:type="dxa"/>
            </w:tcMar>
            <w:vAlign w:val="center"/>
          </w:tcPr>
          <w:p>
            <w:pPr>
              <w:pStyle w:val="TableContents"/>
              <w:bidi w:val="0"/>
              <w:spacing w:before="0" w:after="0"/>
              <w:jc w:val="center"/>
              <w:rPr/>
            </w:pPr>
            <w:r>
              <w:rPr>
                <w:spacing w:val="4"/>
              </w:rPr>
              <w:t>/s/ Michael Newhouse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Michael Newhouse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55"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1" w:type="dxa"/>
            <w:tcBorders/>
            <w:tcMar>
              <w:bottom w:w="0" w:type="dxa"/>
            </w:tcMar>
            <w:vAlign w:val="center"/>
          </w:tcPr>
          <w:p>
            <w:pPr>
              <w:pStyle w:val="TableContents"/>
              <w:bidi w:val="0"/>
              <w:spacing w:before="0" w:after="0"/>
              <w:jc w:val="center"/>
              <w:rPr/>
            </w:pPr>
            <w:r>
              <w:rPr>
                <w:spacing w:val="4"/>
              </w:rPr>
              <w:t>July 27, 2026</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506" w:type="dxa"/>
        <w:jc w:val="left"/>
        <w:tblInd w:w="1393" w:type="dxa"/>
        <w:tblLayout w:type="fixed"/>
        <w:tblCellMar>
          <w:top w:w="0" w:type="dxa"/>
          <w:left w:w="0" w:type="dxa"/>
          <w:bottom w:w="28" w:type="dxa"/>
          <w:right w:w="0" w:type="dxa"/>
        </w:tblCellMar>
      </w:tblPr>
      <w:tblGrid>
        <w:gridCol w:w="124"/>
        <w:gridCol w:w="2330"/>
        <w:gridCol w:w="109"/>
        <w:gridCol w:w="109"/>
        <w:gridCol w:w="974"/>
        <w:gridCol w:w="109"/>
        <w:gridCol w:w="109"/>
        <w:gridCol w:w="1488"/>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33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30" w:type="dxa"/>
            <w:tcBorders/>
            <w:tcMar>
              <w:bottom w:w="0" w:type="dxa"/>
            </w:tcMar>
            <w:vAlign w:val="center"/>
          </w:tcPr>
          <w:p>
            <w:pPr>
              <w:pStyle w:val="TableContents"/>
              <w:bidi w:val="0"/>
              <w:spacing w:before="0" w:after="0"/>
              <w:jc w:val="center"/>
              <w:rPr/>
            </w:pPr>
            <w:r>
              <w:rPr>
                <w:spacing w:val="4"/>
              </w:rPr>
              <w:t>/s/ Martin E. Patterson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Martin E. Patterson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pPr>
            <w:r>
              <w:rPr>
                <w:spacing w:val="4"/>
              </w:rPr>
              <w:t>July 27, 2026</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30" w:type="dxa"/>
            <w:tcBorders/>
            <w:tcMar>
              <w:bottom w:w="0" w:type="dxa"/>
            </w:tcMar>
            <w:vAlign w:val="center"/>
          </w:tcPr>
          <w:p>
            <w:pPr>
              <w:pStyle w:val="TableContents"/>
              <w:bidi w:val="0"/>
              <w:spacing w:before="0" w:after="0"/>
              <w:jc w:val="center"/>
              <w:rPr/>
            </w:pPr>
            <w:r>
              <w:rPr>
                <w:spacing w:val="4"/>
              </w:rPr>
              <w:t>/s/ Mauricio Ramos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Mauricio Ramos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pPr>
            <w:r>
              <w:rPr>
                <w:spacing w:val="4"/>
              </w:rPr>
              <w:t>July 27, 2026</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30" w:type="dxa"/>
            <w:tcBorders/>
            <w:tcMar>
              <w:bottom w:w="0" w:type="dxa"/>
            </w:tcMar>
            <w:vAlign w:val="center"/>
          </w:tcPr>
          <w:p>
            <w:pPr>
              <w:pStyle w:val="TableContents"/>
              <w:bidi w:val="0"/>
              <w:spacing w:before="0" w:after="0"/>
              <w:jc w:val="center"/>
              <w:rPr/>
            </w:pPr>
            <w:r>
              <w:rPr>
                <w:spacing w:val="4"/>
              </w:rPr>
              <w:t>/s/ Carolyn J. Slaski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Carolyn J. Slaski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pPr>
            <w:r>
              <w:rPr>
                <w:spacing w:val="4"/>
              </w:rPr>
              <w:t>July 27, 2026</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30" w:type="dxa"/>
            <w:tcBorders/>
            <w:tcMar>
              <w:bottom w:w="0" w:type="dxa"/>
            </w:tcMar>
            <w:vAlign w:val="center"/>
          </w:tcPr>
          <w:p>
            <w:pPr>
              <w:pStyle w:val="TableContents"/>
              <w:bidi w:val="0"/>
              <w:spacing w:before="0" w:after="0"/>
              <w:jc w:val="center"/>
              <w:rPr/>
            </w:pPr>
            <w:r>
              <w:rPr>
                <w:spacing w:val="4"/>
              </w:rPr>
              <w:t>/s/ J. David Wargo</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 David Wargo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8" w:type="dxa"/>
            <w:tcBorders/>
            <w:tcMar>
              <w:bottom w:w="0" w:type="dxa"/>
            </w:tcMar>
            <w:vAlign w:val="center"/>
          </w:tcPr>
          <w:p>
            <w:pPr>
              <w:pStyle w:val="TableContents"/>
              <w:bidi w:val="0"/>
              <w:spacing w:before="0" w:after="0"/>
              <w:jc w:val="center"/>
              <w:rPr/>
            </w:pPr>
            <w:r>
              <w:rPr>
                <w:spacing w:val="4"/>
              </w:rPr>
              <w:t>July 27,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caps w:val="false"/>
          <w:smallCaps w:val="false"/>
        </w:rPr>
      </w:pPr>
      <w:bookmarkStart w:id="15" w:name="tm2621265d2_ex5-1.htm"/>
      <w:bookmarkStart w:id="16" w:name="kstm2621265d2_ex51"/>
      <w:bookmarkEnd w:id="15"/>
      <w:bookmarkEnd w:id="1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tbl>
      <w:tblPr>
        <w:tblW w:w="4407" w:type="dxa"/>
        <w:jc w:val="left"/>
        <w:tblInd w:w="0" w:type="dxa"/>
        <w:tblLayout w:type="fixed"/>
        <w:tblCellMar>
          <w:top w:w="0" w:type="dxa"/>
          <w:left w:w="0" w:type="dxa"/>
          <w:bottom w:w="0" w:type="dxa"/>
          <w:right w:w="0" w:type="dxa"/>
        </w:tblCellMar>
      </w:tblPr>
      <w:tblGrid>
        <w:gridCol w:w="115"/>
        <w:gridCol w:w="2862"/>
        <w:gridCol w:w="1430"/>
      </w:tblGrid>
      <w:tr>
        <w:trPr/>
        <w:tc>
          <w:tcPr>
            <w:tcW w:w="4407" w:type="dxa"/>
            <w:gridSpan w:val="3"/>
            <w:tcBorders/>
            <w:vAlign w:val="center"/>
          </w:tcPr>
          <w:p>
            <w:pPr>
              <w:pStyle w:val="TableContents"/>
              <w:bidi w:val="0"/>
              <w:spacing w:before="0" w:after="283"/>
              <w:jc w:val="left"/>
              <w:rPr>
                <w:sz w:val="4"/>
                <w:szCs w:val="4"/>
              </w:rPr>
            </w:pPr>
            <w:r>
              <w:rPr>
                <w:sz w:val="4"/>
                <w:szCs w:val="4"/>
              </w:rPr>
            </w:r>
          </w:p>
        </w:tc>
      </w:tr>
      <w:tr>
        <w:trPr/>
        <w:tc>
          <w:tcPr>
            <w:tcW w:w="4407" w:type="dxa"/>
            <w:gridSpan w:val="3"/>
            <w:tcBorders/>
            <w:vAlign w:val="center"/>
          </w:tcPr>
          <w:p>
            <w:pPr>
              <w:pStyle w:val="TableContents"/>
              <w:bidi w:val="0"/>
              <w:spacing w:before="0" w:after="283"/>
              <w:jc w:val="center"/>
              <w:rPr/>
            </w:pPr>
            <w:r>
              <w:rPr/>
              <w:drawing>
                <wp:inline distT="0" distB="0" distL="0" distR="0">
                  <wp:extent cx="2724150" cy="447675"/>
                  <wp:effectExtent l="0" t="0" r="0" b="0"/>
                  <wp:docPr id="6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 descr=""/>
                          <pic:cNvPicPr>
                            <a:picLocks noChangeAspect="1" noChangeArrowheads="1"/>
                          </pic:cNvPicPr>
                        </pic:nvPicPr>
                        <pic:blipFill>
                          <a:blip r:embed="rId55"/>
                          <a:stretch>
                            <a:fillRect/>
                          </a:stretch>
                        </pic:blipFill>
                        <pic:spPr bwMode="auto">
                          <a:xfrm>
                            <a:off x="0" y="0"/>
                            <a:ext cx="2724150" cy="447675"/>
                          </a:xfrm>
                          <a:prstGeom prst="rect">
                            <a:avLst/>
                          </a:prstGeom>
                        </pic:spPr>
                      </pic:pic>
                    </a:graphicData>
                  </a:graphic>
                </wp:inline>
              </w:drawing>
            </w:r>
          </w:p>
        </w:tc>
      </w:tr>
      <w:tr>
        <w:trPr/>
        <w:tc>
          <w:tcPr>
            <w:tcW w:w="4407" w:type="dxa"/>
            <w:gridSpan w:val="3"/>
            <w:tcBorders/>
            <w:vAlign w:val="center"/>
          </w:tcPr>
          <w:p>
            <w:pPr>
              <w:pStyle w:val="TableContents"/>
              <w:bidi w:val="0"/>
              <w:spacing w:before="0" w:after="283"/>
              <w:jc w:val="center"/>
              <w:rPr/>
            </w:pPr>
            <w:r>
              <w:rPr/>
              <w:t> </w:t>
            </w:r>
          </w:p>
        </w:tc>
      </w:tr>
      <w:tr>
        <w:trPr/>
        <w:tc>
          <w:tcPr>
            <w:tcW w:w="115" w:type="dxa"/>
            <w:tcBorders/>
            <w:vAlign w:val="center"/>
          </w:tcPr>
          <w:p>
            <w:pPr>
              <w:pStyle w:val="TableContents"/>
              <w:bidi w:val="0"/>
              <w:spacing w:before="0" w:after="283"/>
              <w:jc w:val="center"/>
              <w:rPr/>
            </w:pPr>
            <w:r>
              <w:rPr/>
              <w:t> </w:t>
            </w:r>
          </w:p>
        </w:tc>
        <w:tc>
          <w:tcPr>
            <w:tcW w:w="2862"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Lexington Avenue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+1 212 446 4800</w:t>
            </w:r>
          </w:p>
        </w:tc>
        <w:tc>
          <w:tcPr>
            <w:tcW w:w="14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Facsimile:</w:t>
              <w:br/>
              <w:t>+1 212 446 4900</w:t>
            </w:r>
          </w:p>
        </w:tc>
      </w:tr>
      <w:tr>
        <w:trPr/>
        <w:tc>
          <w:tcPr>
            <w:tcW w:w="115" w:type="dxa"/>
            <w:tcBorders/>
            <w:vAlign w:val="center"/>
          </w:tcPr>
          <w:p>
            <w:pPr>
              <w:pStyle w:val="TableContents"/>
              <w:bidi w:val="0"/>
              <w:spacing w:before="0" w:after="283"/>
              <w:jc w:val="center"/>
              <w:rPr/>
            </w:pPr>
            <w:r>
              <w:rPr/>
              <w:t> </w:t>
            </w:r>
          </w:p>
        </w:tc>
        <w:tc>
          <w:tcPr>
            <w:tcW w:w="2862"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 </w:t>
            </w:r>
          </w:p>
        </w:tc>
      </w:tr>
      <w:tr>
        <w:trPr/>
        <w:tc>
          <w:tcPr>
            <w:tcW w:w="115" w:type="dxa"/>
            <w:tcBorders/>
            <w:vAlign w:val="center"/>
          </w:tcPr>
          <w:p>
            <w:pPr>
              <w:pStyle w:val="TableContents"/>
              <w:bidi w:val="0"/>
              <w:spacing w:before="0" w:after="283"/>
              <w:jc w:val="center"/>
              <w:rPr/>
            </w:pPr>
            <w:r>
              <w:rPr/>
              <w:t> </w:t>
            </w:r>
          </w:p>
        </w:tc>
        <w:tc>
          <w:tcPr>
            <w:tcW w:w="2862" w:type="dxa"/>
            <w:tcBorders/>
            <w:vAlign w:val="center"/>
          </w:tcPr>
          <w:p>
            <w:pPr>
              <w:pStyle w:val="TableContents"/>
              <w:bidi w:val="0"/>
              <w:spacing w:before="0" w:after="283"/>
              <w:jc w:val="center"/>
              <w:rPr/>
            </w:pPr>
            <w:r>
              <w:rPr/>
              <w:t>www.kirkland.com</w:t>
            </w:r>
          </w:p>
        </w:tc>
        <w:tc>
          <w:tcPr>
            <w:tcW w:w="143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LLC</w:t>
        <w:br/>
        <w:t>Charter Communications Operating Capital Corp.</w:t>
        <w:br/>
        <w:t>400 Washington Blvd.</w:t>
        <w:br/>
        <w:t>Stamford, Connecticut 06902</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732"/>
        <w:gridCol w:w="9382"/>
      </w:tblGrid>
      <w:tr>
        <w:trPr/>
        <w:tc>
          <w:tcPr>
            <w:tcW w:w="9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20"/>
              </w:rPr>
            </w:pPr>
            <w:r>
              <w:rPr>
                <w:sz w:val="20"/>
              </w:rPr>
              <w:t>Re:</w:t>
            </w:r>
          </w:p>
        </w:tc>
        <w:tc>
          <w:tcPr>
            <w:tcW w:w="9382" w:type="dxa"/>
            <w:tcBorders/>
            <w:vAlign w:val="center"/>
          </w:tcPr>
          <w:p>
            <w:pPr>
              <w:pStyle w:val="TableContents"/>
              <w:bidi w:val="0"/>
              <w:spacing w:before="0" w:after="283"/>
              <w:jc w:val="left"/>
              <w:rPr>
                <w:u w:val="single"/>
              </w:rPr>
            </w:pPr>
            <w:r>
              <w:rPr>
                <w:u w:val="single"/>
              </w:rPr>
              <w:t>Registration Statement on Form S-3ASR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issuing this opinion letter in our capacity as special legal counsel to Charter Communications, Inc., a Delaware corporation, Charter Communications Operating, LLC, a Delaware limited liability company (“</w:t>
      </w:r>
      <w:r>
        <w:rPr>
          <w:rFonts w:ascii="Times New Roman;Times;Serif" w:hAnsi="Times New Roman;Times;Serif"/>
          <w:b w:val="false"/>
          <w:i w:val="false"/>
          <w:caps w:val="false"/>
          <w:smallCaps w:val="false"/>
          <w:sz w:val="20"/>
          <w:u w:val="single"/>
        </w:rPr>
        <w:t>CCO</w:t>
      </w:r>
      <w:r>
        <w:rPr>
          <w:rFonts w:ascii="Times New Roman;Times;Serif" w:hAnsi="Times New Roman;Times;Serif"/>
          <w:b w:val="false"/>
          <w:i w:val="false"/>
          <w:caps w:val="false"/>
          <w:smallCaps w:val="false"/>
          <w:sz w:val="20"/>
        </w:rPr>
        <w:t>”), Charter Communications Operating Capital Corp., a Delaware corporation (“</w:t>
      </w:r>
      <w:r>
        <w:rPr>
          <w:rFonts w:ascii="Times New Roman;Times;Serif" w:hAnsi="Times New Roman;Times;Serif"/>
          <w:b w:val="false"/>
          <w:i w:val="false"/>
          <w:caps w:val="false"/>
          <w:smallCaps w:val="false"/>
          <w:sz w:val="20"/>
          <w:u w:val="single"/>
        </w:rPr>
        <w:t>CCO Capita</w:t>
      </w:r>
      <w:r>
        <w:rPr>
          <w:rFonts w:ascii="Times New Roman;Times;Serif" w:hAnsi="Times New Roman;Times;Serif"/>
          <w:b w:val="false"/>
          <w:i w:val="false"/>
          <w:caps w:val="false"/>
          <w:smallCaps w:val="false"/>
          <w:sz w:val="20"/>
        </w:rPr>
        <w:t>l” and, together with CCO, the “</w:t>
      </w:r>
      <w:r>
        <w:rPr>
          <w:rFonts w:ascii="Times New Roman;Times;Serif" w:hAnsi="Times New Roman;Times;Serif"/>
          <w:b w:val="false"/>
          <w:i w:val="false"/>
          <w:caps w:val="false"/>
          <w:smallCaps w:val="false"/>
          <w:sz w:val="20"/>
          <w:u w:val="single"/>
        </w:rPr>
        <w:t>Issuers</w:t>
      </w:r>
      <w:r>
        <w:rPr>
          <w:rFonts w:ascii="Times New Roman;Times;Serif" w:hAnsi="Times New Roman;Times;Serif"/>
          <w:b w:val="false"/>
          <w:i w:val="false"/>
          <w:caps w:val="false"/>
          <w:smallCaps w:val="false"/>
          <w:sz w:val="20"/>
        </w:rPr>
        <w:t xml:space="preserve">”), and each of the entities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and, together with the Issuers, the “</w:t>
      </w:r>
      <w:r>
        <w:rPr>
          <w:rFonts w:ascii="Times New Roman;Times;Serif" w:hAnsi="Times New Roman;Times;Serif"/>
          <w:b w:val="false"/>
          <w:i w:val="false"/>
          <w:caps w:val="false"/>
          <w:smallCaps w:val="false"/>
          <w:sz w:val="20"/>
          <w:u w:val="single"/>
        </w:rPr>
        <w:t>Registrants</w:t>
      </w:r>
      <w:r>
        <w:rPr>
          <w:rFonts w:ascii="Times New Roman;Times;Serif" w:hAnsi="Times New Roman;Times;Serif"/>
          <w:b w:val="false"/>
          <w:i w:val="false"/>
          <w:caps w:val="false"/>
          <w:smallCaps w:val="false"/>
          <w:sz w:val="20"/>
        </w:rPr>
        <w:t>”), in connection with the proposed registration by the Registrants under the Securities Act of 1933, as amended (the “Act”), on a Registration Statement on Form S-3ASR, and the documents incorporated by refence therein,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on July 27, 2026 (as such registration statement is amended or supplemented,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for the offer and sale from time to time pursuant to Rule 415 under the Act of one or more series of debt securities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The Securities may be issued by the Issuers in connection with an offering or offerings from time to time pursuant to the Registration Statement and will be offered on terms set forth in the Registration Statement and in the prospectus contained in the Registration Statement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and in amounts, at prices and on other terms to be determined by the Issuers at the time of offering and to be set forth in an amendment or amendments to the Registration Statement and the Prospectus and in one or more supplements to the Prospectus (each, a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advised us that the Securities will be issued under an indenture, dated as of July 23, 2015, by and among the Issuers, CCO Safari II, LLC, and The Bank of New York Mellon Trust Company, N.A., as trustee (in such capacity,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and as collateral agent (as amended and supplemented through the date hereof, and as further amended and supplemented from time to time,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and guaranteed (the “</w:t>
      </w:r>
      <w:r>
        <w:rPr>
          <w:rFonts w:ascii="Times New Roman;Times;Serif" w:hAnsi="Times New Roman;Times;Serif"/>
          <w:b w:val="false"/>
          <w:i w:val="false"/>
          <w:caps w:val="false"/>
          <w:smallCaps w:val="false"/>
          <w:sz w:val="20"/>
          <w:u w:val="single"/>
        </w:rPr>
        <w:t>Guarantees</w:t>
      </w:r>
      <w:r>
        <w:rPr>
          <w:rFonts w:ascii="Times New Roman;Times;Serif" w:hAnsi="Times New Roman;Times;Serif"/>
          <w:b w:val="false"/>
          <w:i w:val="false"/>
          <w:caps w:val="false"/>
          <w:smallCaps w:val="false"/>
          <w:sz w:val="20"/>
        </w:rPr>
        <w:t>”) by the applicable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47900" cy="314325"/>
            <wp:effectExtent l="0" t="0" r="0" b="0"/>
            <wp:docPr id="6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 descr=""/>
                    <pic:cNvPicPr>
                      <a:picLocks noChangeAspect="1" noChangeArrowheads="1"/>
                    </pic:cNvPicPr>
                  </pic:nvPicPr>
                  <pic:blipFill>
                    <a:blip r:embed="rId56"/>
                    <a:stretch>
                      <a:fillRect/>
                    </a:stretch>
                  </pic:blipFill>
                  <pic:spPr bwMode="auto">
                    <a:xfrm>
                      <a:off x="0" y="0"/>
                      <a:ext cx="2247900" cy="314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companies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under the headings “Delaware Guarantors” are collectively referred to herein as the “</w:t>
      </w:r>
      <w:r>
        <w:rPr>
          <w:rFonts w:ascii="Times New Roman;Times;Serif" w:hAnsi="Times New Roman;Times;Serif"/>
          <w:b w:val="false"/>
          <w:i w:val="false"/>
          <w:caps w:val="false"/>
          <w:smallCaps w:val="false"/>
          <w:sz w:val="20"/>
          <w:u w:val="single"/>
        </w:rPr>
        <w:t>Delaware Guarantors</w:t>
      </w:r>
      <w:r>
        <w:rPr>
          <w:rFonts w:ascii="Times New Roman;Times;Serif" w:hAnsi="Times New Roman;Times;Serif"/>
          <w:b w:val="false"/>
          <w:i w:val="false"/>
          <w:caps w:val="false"/>
          <w:smallCaps w:val="false"/>
          <w:sz w:val="20"/>
        </w:rPr>
        <w:t>.” The companies listed on Exhibit A hereto under the heading “Other Guarantors” are collectively referred to herein as the “</w:t>
      </w:r>
      <w:r>
        <w:rPr>
          <w:rFonts w:ascii="Times New Roman;Times;Serif" w:hAnsi="Times New Roman;Times;Serif"/>
          <w:b w:val="false"/>
          <w:i w:val="false"/>
          <w:caps w:val="false"/>
          <w:smallCaps w:val="false"/>
          <w:sz w:val="20"/>
          <w:u w:val="single"/>
        </w:rPr>
        <w:t>Other Guarantors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provides that the Issuers may sell the Securities registered thereby (i) through underwriters or dealers, (ii) directly to one or more other purchasers, (iii) through agents or (iv) through a combination of any of these methods. The applicable Prospectus Supplement with respect to the Securities offered will set forth the terms of the offering of such Securities, including the name or names of any underwriters, dealers or agents, the purchase price of such Securities and the proceeds to the Issuers from such sale, any underwriting discounts and other items constituting underwriters’ compensation, any initial public offering price and any discounts, commissions or concessions allowed or reallowed or paid to dealers, and any bidding or auction process. If underwriters are used in an offering of Securities registered by the Registration Statement, the Registration Statement anticipates that the Issuers will sell such Securities pursuant to the terms of an underwriting agreement to be executed between the Issuers and underwriters that will be identified in the applicable Prospectus Supplement. We have assumed for purposes of this letter that the terms of the Underwriting Agreement will fall within the scope of the authorization adopted by the board of directors, sole director, board of managers, managing committee, manager, sole member or other applicable governing body, as applicable, of the Issuers and the applicable Guarantors (“</w:t>
      </w:r>
      <w:r>
        <w:rPr>
          <w:rFonts w:ascii="Times New Roman;Times;Serif" w:hAnsi="Times New Roman;Times;Serif"/>
          <w:b w:val="false"/>
          <w:i w:val="false"/>
          <w:caps w:val="false"/>
          <w:smallCaps w:val="false"/>
          <w:sz w:val="20"/>
          <w:u w:val="single"/>
        </w:rPr>
        <w:t>Board Authorization</w:t>
      </w:r>
      <w:r>
        <w:rPr>
          <w:rFonts w:ascii="Times New Roman;Times;Serif" w:hAnsi="Times New Roman;Times;Serif"/>
          <w:b w:val="false"/>
          <w:i w:val="false"/>
          <w:caps w:val="false"/>
          <w:smallCaps w:val="false"/>
          <w:sz w:val="20"/>
        </w:rPr>
        <w:t>”) and will receive the approvals required by that Board Authorization. The term “Underwriting Agreement” is used in this letter to mean an underwriting agreement in the form in which it will be actually executed by the Issuers and the underwriters with respect to a particular underwritten offering of Securities registered by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therewith, we have examined originals, or copies certified or otherwise identified to our satisfaction, of such documents, corporate records and other instruments as we have deemed necessary for the purpose of this opinion, including (i) the corporate and organizational documents of the Issuers and the Delaware Guarantors, (ii) minutes and records of the corporate proceedings of the Issuers and the Delaware Guarantors with respect to the Registration Statement, (iii) the Registration Statement, (iv) the Indenture (including the Guarantees) and (v) forms of the Securities. The term “Transaction Documents” is used in this letter to refer collectively to the Underwriting Agreement, the Indenture, the Securities and the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opinion, we have assumed the authenticity of all documents submitted to us as originals, the conformity to the originals of all documents submitted to us as copies and the authenticity of the originals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Issuers and the Delaware Guarantors), and the due authorization, execution and delivery of all documents by the parties thereto (other than the Issuers and the Delaware Guarantors). As to any facts material to the opinions expressed herein which we have not independently established or verified, we have relied upon statements and representations of officers and other representatives of the Issuers and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47900" cy="314325"/>
            <wp:effectExtent l="0" t="0" r="0" b="0"/>
            <wp:docPr id="6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 descr=""/>
                    <pic:cNvPicPr>
                      <a:picLocks noChangeAspect="1" noChangeArrowheads="1"/>
                    </pic:cNvPicPr>
                  </pic:nvPicPr>
                  <pic:blipFill>
                    <a:blip r:embed="rId57"/>
                    <a:stretch>
                      <a:fillRect/>
                    </a:stretch>
                  </pic:blipFill>
                  <pic:spPr bwMode="auto">
                    <a:xfrm>
                      <a:off x="0" y="0"/>
                      <a:ext cx="2247900" cy="314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assumed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(i)</w:t>
            </w:r>
          </w:p>
        </w:tc>
        <w:tc>
          <w:tcPr>
            <w:tcW w:w="9984" w:type="dxa"/>
            <w:tcBorders/>
            <w:vAlign w:val="center"/>
          </w:tcPr>
          <w:p>
            <w:pPr>
              <w:pStyle w:val="TableContents"/>
              <w:bidi w:val="0"/>
              <w:spacing w:before="0" w:after="283"/>
              <w:jc w:val="both"/>
              <w:rPr/>
            </w:pPr>
            <w:r>
              <w:rPr/>
              <w:t>the Registration Statement shall have become effective pursuant to the provisions of the Act and will remain effective and comply with all applicable laws at the time the Securities are offered or issued as contemplated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(ii)</w:t>
            </w:r>
          </w:p>
        </w:tc>
        <w:tc>
          <w:tcPr>
            <w:tcW w:w="9940" w:type="dxa"/>
            <w:tcBorders/>
            <w:vAlign w:val="center"/>
          </w:tcPr>
          <w:p>
            <w:pPr>
              <w:pStyle w:val="TableContents"/>
              <w:bidi w:val="0"/>
              <w:spacing w:before="0" w:after="283"/>
              <w:jc w:val="both"/>
              <w:rPr/>
            </w:pPr>
            <w:r>
              <w:rPr/>
              <w:t>a Prospectus Supplement or Prospectus Supplements with respect to the Securities shall have been filed (or transmitted for filing) with the Commission pursuant to Rule 424(b) of the Act and any exhibits necessary under the rules and regulations of the Commission shall have been filed with the Commission in an amendment to the Registration Statement or incorporated by reference into the Registration Statement pursuant to a Current Report on Form 8-K of the Issuers filed with the Commission and will comply with all applicable laws;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4"/>
        <w:gridCol w:w="9854"/>
      </w:tblGrid>
      <w:tr>
        <w:trPr/>
        <w:tc>
          <w:tcPr>
            <w:tcW w:w="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(iii)</w:t>
            </w:r>
          </w:p>
        </w:tc>
        <w:tc>
          <w:tcPr>
            <w:tcW w:w="9854" w:type="dxa"/>
            <w:tcBorders/>
            <w:vAlign w:val="center"/>
          </w:tcPr>
          <w:p>
            <w:pPr>
              <w:pStyle w:val="TableContents"/>
              <w:bidi w:val="0"/>
              <w:spacing w:before="0" w:after="283"/>
              <w:jc w:val="both"/>
              <w:rPr/>
            </w:pPr>
            <w:r>
              <w:rPr/>
              <w:t>the Securities will be issued and sold in the manner stated in the Registration Statement, and in the form and containing the terms set forth in the Registration Statement and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8"/>
        <w:gridCol w:w="9840"/>
      </w:tblGrid>
      <w:tr>
        <w:trPr/>
        <w:tc>
          <w:tcPr>
            <w:tcW w:w="3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(iv)</w:t>
            </w:r>
          </w:p>
        </w:tc>
        <w:tc>
          <w:tcPr>
            <w:tcW w:w="9840" w:type="dxa"/>
            <w:tcBorders/>
            <w:vAlign w:val="center"/>
          </w:tcPr>
          <w:p>
            <w:pPr>
              <w:pStyle w:val="TableContents"/>
              <w:bidi w:val="0"/>
              <w:spacing w:before="0" w:after="283"/>
              <w:jc w:val="both"/>
              <w:rPr/>
            </w:pPr>
            <w:r>
              <w:rPr/>
              <w:t>the Guarantees will have been duly authorized, executed and delivered by the Other Guarantors (to the extent they are party to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(v)</w:t>
            </w:r>
          </w:p>
        </w:tc>
        <w:tc>
          <w:tcPr>
            <w:tcW w:w="9917" w:type="dxa"/>
            <w:tcBorders/>
            <w:vAlign w:val="center"/>
          </w:tcPr>
          <w:p>
            <w:pPr>
              <w:pStyle w:val="TableContents"/>
              <w:bidi w:val="0"/>
              <w:spacing w:before="0" w:after="283"/>
              <w:jc w:val="both"/>
              <w:rPr/>
            </w:pPr>
            <w:r>
              <w:rPr/>
              <w:t>a definitive Underwriting Agreement will have been duly authorized and validly executed and delivered by the Issuers, the Guarantors (to the extent they are party thereto) and the other parties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(vi)</w:t>
            </w:r>
          </w:p>
        </w:tc>
        <w:tc>
          <w:tcPr>
            <w:tcW w:w="9859" w:type="dxa"/>
            <w:tcBorders/>
            <w:vAlign w:val="center"/>
          </w:tcPr>
          <w:p>
            <w:pPr>
              <w:pStyle w:val="TableContents"/>
              <w:bidi w:val="0"/>
              <w:spacing w:before="0" w:after="283"/>
              <w:jc w:val="both"/>
              <w:rPr/>
            </w:pPr>
            <w:r>
              <w:rPr/>
              <w:t>the terms of the Indenture are or will have been consistent with the description of the terms of such agreement set forth in the Registration Statement and in the Prospectus Supplement or Prospectus Supplements;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3"/>
        <w:gridCol w:w="9785"/>
      </w:tblGrid>
      <w:tr>
        <w:trPr/>
        <w:tc>
          <w:tcPr>
            <w:tcW w:w="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pPr>
            <w:r>
              <w:rPr/>
              <w:t>(vii)</w:t>
            </w:r>
          </w:p>
        </w:tc>
        <w:tc>
          <w:tcPr>
            <w:tcW w:w="9785" w:type="dxa"/>
            <w:tcBorders/>
            <w:vAlign w:val="center"/>
          </w:tcPr>
          <w:p>
            <w:pPr>
              <w:pStyle w:val="TableContents"/>
              <w:bidi w:val="0"/>
              <w:spacing w:before="0" w:after="283"/>
              <w:jc w:val="both"/>
              <w:rPr/>
            </w:pPr>
            <w:r>
              <w:rPr/>
              <w:t>appropriate corporate action shall have been taken to authorize the issuance and sale of, and such authorization will not have been modified or rescinded;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10"/>
        <w:gridCol w:w="9758"/>
      </w:tblGrid>
      <w:tr>
        <w:trPr/>
        <w:tc>
          <w:tcPr>
            <w:tcW w:w="3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(viii)</w:t>
            </w:r>
          </w:p>
        </w:tc>
        <w:tc>
          <w:tcPr>
            <w:tcW w:w="9758" w:type="dxa"/>
            <w:tcBorders/>
            <w:vAlign w:val="center"/>
          </w:tcPr>
          <w:p>
            <w:pPr>
              <w:pStyle w:val="TableContents"/>
              <w:bidi w:val="0"/>
              <w:spacing w:before="0" w:after="283"/>
              <w:jc w:val="both"/>
              <w:rPr/>
            </w:pPr>
            <w:r>
              <w:rPr/>
              <w:t>the issuance, sale and delivery of the Securities, the terms of the Securities and compliance by each of Issuers and the Guarantors (to the extent they are party to the Indenture) with the terms of the Securities will not violate any applicable law, any agreement or instrument then binding upon the Issuers or such Guarantors or any restriction imposed by any court or governmental body having jurisdiction over the Issuers or such Guarantors;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47900" cy="314325"/>
            <wp:effectExtent l="0" t="0" r="0" b="0"/>
            <wp:docPr id="6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 descr=""/>
                    <pic:cNvPicPr>
                      <a:picLocks noChangeAspect="1" noChangeArrowheads="1"/>
                    </pic:cNvPicPr>
                  </pic:nvPicPr>
                  <pic:blipFill>
                    <a:blip r:embed="rId58"/>
                    <a:stretch>
                      <a:fillRect/>
                    </a:stretch>
                  </pic:blipFill>
                  <pic:spPr bwMode="auto">
                    <a:xfrm>
                      <a:off x="0" y="0"/>
                      <a:ext cx="2247900" cy="314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2"/>
        <w:gridCol w:w="9846"/>
      </w:tblGrid>
      <w:tr>
        <w:trPr/>
        <w:tc>
          <w:tcPr>
            <w:tcW w:w="3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(ix)</w:t>
            </w:r>
          </w:p>
        </w:tc>
        <w:tc>
          <w:tcPr>
            <w:tcW w:w="9846" w:type="dxa"/>
            <w:tcBorders/>
            <w:vAlign w:val="center"/>
          </w:tcPr>
          <w:p>
            <w:pPr>
              <w:pStyle w:val="TableContents"/>
              <w:bidi w:val="0"/>
              <w:spacing w:before="0" w:after="283"/>
              <w:jc w:val="both"/>
              <w:rPr/>
            </w:pPr>
            <w:r>
              <w:rPr/>
              <w:t>any legally required consents, approvals, authorizations and other orders of the Commission and any other regulatory authorities shall have been obtained;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(x)</w:t>
            </w:r>
          </w:p>
        </w:tc>
        <w:tc>
          <w:tcPr>
            <w:tcW w:w="9894" w:type="dxa"/>
            <w:tcBorders/>
            <w:vAlign w:val="center"/>
          </w:tcPr>
          <w:p>
            <w:pPr>
              <w:pStyle w:val="TableContents"/>
              <w:bidi w:val="0"/>
              <w:spacing w:before="0" w:after="283"/>
              <w:jc w:val="both"/>
              <w:rPr/>
            </w:pPr>
            <w:r>
              <w:rPr/>
              <w:t>there will not have occurred any change in law affecting the validity, legally binding character or enforceability of the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assumptions, qualifications and limitations identified in this opinion, we are of the opinion that when (i) the Securities have been duly executed, delivered and paid for in accordance with the Underwriting Agreement, (ii) the Indenture has been duly authorized, executed and delivered by the Issuers, the Guarantors (to the extent they are party thereto) and the Trustee, (iii) the Indenture has been qualified under the Trust Indenture Act of 1939, as amended and (iv) the Securities have been fully authenticated by the Trustee, the Securities will constitute legal, valid and binding obligations of the Issuers and the Guarantors (to the extent they are party thereto), enforceable against the Issuers and the Guarantors (to the extent they are party thereto)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opinion in this letter that any particular contract constitutes a valid and binding agreement or is enforceable in accordance with its terms (each, an “enforceability opinion”) is subject to: (i) the effect of bankruptcy, insolvency, fraudulent conveyance and other similar laws and judicially developed doctrines in this area such as substantive consolidation and equitable subordination; (ii) the effect of general principles of equity; and (iii) other commonly recognized statutory and judicial constraints on enforceability including statutes of limitations. “General principles of equity” include but are not limited to: (A) principles limiting the availability of specific performance and injunctive relief; (B) principles which limit the availability of a remedy under certain circumstances where another remedy has been elected; (C) principles requiring reasonableness, good faith and fair dealing in the performance and enforcement of an agreement by the party seeking enforcement; (D) principles which may permit a party to cure a material failure to perform its obligations; and (E) principles affording equitable defenses such as waiver, laches and estoppel. It is possible that terms in a particular contract covered by our enforceability opinion may not prove enforceable for reasons other than those explicitly cited in this letter should an actual enforcement action be brought, but (subject to all the exceptions, qualifications, exclusions and other limitations contained in this letter) such unenforceability would not in our opinion prevent the party entitled to enforce that contract from realizing the principal benefits purported to be provided to that party by the terms in that contract which are covered by our enforceability opinion. In addition, none of the opinions or other advice contained in this letter covers or otherwise addresses any of the following types of provisions (or the enforceability thereof) which may be contained in the Transaction Documents: (i) provisions mandating contribution towards judgments or settlements among various parties; (ii) waivers of benefits and rights to the extent they cannot be waived under applicable law; (iii) provisions providing for liquidated damages, late charges and prepayment charges, in each case if deemed to constitute penalties; (iv) provisions which might require indemnification or contribution in violation of general principles of equity or public policy, including, without limitation, indemnification or contribution obligations which arise out of the failure to comply with applicable state or federal securities laws, rules or regulations; or (v) requirements in the Transaction Documents specifying that provisions thereof may only be waived in writing (these provisions may not be valid, binding or enforceable to the extent that an oral agreement or an implied agreement by trade practice or course of conduct has been created modifying any provision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47900" cy="314325"/>
            <wp:effectExtent l="0" t="0" r="0" b="0"/>
            <wp:docPr id="7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 descr=""/>
                    <pic:cNvPicPr>
                      <a:picLocks noChangeAspect="1" noChangeArrowheads="1"/>
                    </pic:cNvPicPr>
                  </pic:nvPicPr>
                  <pic:blipFill>
                    <a:blip r:embed="rId59"/>
                    <a:stretch>
                      <a:fillRect/>
                    </a:stretch>
                  </pic:blipFill>
                  <pic:spPr bwMode="auto">
                    <a:xfrm>
                      <a:off x="0" y="0"/>
                      <a:ext cx="2247900" cy="314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advice on every legal issue addressed in this opinion is based exclusively on the internal law of the State of New York, the General Corporation Law of the State of Delaware and the Delaware Limited Liability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find it necessary for the purposes of this opinion, and accordingly we do not purport to cover herein, the application of the securities or “Blue Sky” laws of the various states to the issuance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specific issues addressed herein, and no opinion may be inferred or implied beyond that expressly stated herein. This opinion speaks only as of the date that the Registration Statement becomes effective under the Act, and we assume no obligation to revise or supplement this opinion should the present laws of the State of New York, the General Corporation Law of the State of Delaware or the Delaware Limited Liability Company Act be changed by legislative action, judicial decision or otherwise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furnished to you in connection with the filing of the Registration Statement and is not to be used, circulated, quoted or otherwise relied upon for any other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5.1 to the Registration Statement. We also consent to the reference to our firm under the heading “Legal Matters” in the Registration Statement. In giving this consent, we do not thereby admit that we are in the category of persons whose consent is required under Section 7 of the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47900" cy="314325"/>
            <wp:effectExtent l="0" t="0" r="0" b="0"/>
            <wp:docPr id="7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 descr=""/>
                    <pic:cNvPicPr>
                      <a:picLocks noChangeAspect="1" noChangeArrowheads="1"/>
                    </pic:cNvPicPr>
                  </pic:nvPicPr>
                  <pic:blipFill>
                    <a:blip r:embed="rId60"/>
                    <a:stretch>
                      <a:fillRect/>
                    </a:stretch>
                  </pic:blipFill>
                  <pic:spPr bwMode="auto">
                    <a:xfrm>
                      <a:off x="0" y="0"/>
                      <a:ext cx="2247900" cy="314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w:t>
      </w:r>
    </w:p>
    <w:p>
      <w:pPr>
        <w:pStyle w:val="TextBody"/>
        <w:bidi w:val="0"/>
        <w:spacing w:before="0" w:after="0"/>
        <w:ind w:left="0" w:right="0" w:hanging="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Kirkland &amp; Ellis LLP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KIRKLAND &amp; ELLIS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Delaware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BNH IP Enabled Services,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Digital Services,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 House Networks Information Services (Alabama),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 House Networks Information Services (California),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 House Networks Information Services (Florida),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 House Networks Information Services (Indiana),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 House Networks Information Services (Michigan),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Fiberlink,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VI Fiberlink,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VII Fiberlink,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Fiberlink,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Holdings Capital Corp., a Delaware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NR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Inc., a Delaware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ASC,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SSC,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Distribution,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Alabama,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Georgia,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Illinois,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Maryland II,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Michigan,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Missouri,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Nebraska,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Tennessee,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CA-CCO,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CC VIII,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CT-CCO,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LA-CCO,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MA-CCO,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MS-CCVI,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NC-CCO,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NH-CCO,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NV-CCVII,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NY-CCO,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OR-CCVII,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SC-CCO,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TX-CCO,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VA-CCO,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VT-CCO,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WA-CCVII,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IP Enabled Services,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Leasing Holding Company,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Procurement Leasing,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DukeNet Communications,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Innovar Media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Marcus Cable Associates,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Advanced Services,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Fiberlink Florida,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Gulf Coast,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Mid-America,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Equipment,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New York Metro,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NLP,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Northeast,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Oceanic,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Development,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Pacific West,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Reach,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RSN,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Southeast,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SportsNet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Sunshine State,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TV Essentials,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Wireless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Business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Enterprises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(Alabama),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(Arizona),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(California),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(Colorado),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(Hawaii),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(Idaho),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(Illinois),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(Indiana),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(Kansas),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(Kentucky),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(Maine),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(Massachusetts),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(Michigan),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(Missouri),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(Nebraska),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(New Hampshire),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(New Jersey),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(New Mexico)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(New York),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(North Carolina),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(Ohio),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(Pennsylvania),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(South Carolina),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(Tennessee),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(Texas),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(Virginia),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(Washington),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(West Virginia),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(Wisconsin),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Administration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Communications,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IP Enabled Services,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SEE Holdco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TWCIS Holdco LLC, a Delaware limited liability company</w:t>
        <w:br/>
        <w:t>Visual Advertising Sales Technology,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Guarantors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of Colorado, LLC, a Colorado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of Montana, LLC, a Montana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of Utah, LLC, a Utah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of Wyoming, LLC, a Wyoming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7" w:name="tm2621265d2_ex5-2.htm"/>
      <w:bookmarkStart w:id="18" w:name="kstm2621265d2_ex52"/>
      <w:bookmarkEnd w:id="17"/>
      <w:bookmarkEnd w:id="18"/>
      <w:r>
        <w:rPr>
          <w:rFonts w:ascii="Times New Roman;Times;Serif" w:hAnsi="Times New Roman;Times;Serif"/>
          <w:b/>
          <w:i w:val="false"/>
          <w:caps w:val="false"/>
          <w:smallCaps w:val="false"/>
          <w:sz w:val="20"/>
        </w:rPr>
        <w:t>Exhibit 5.2</w:t>
      </w:r>
      <w:r>
        <w:br w:type="page"/>
      </w:r>
    </w:p>
    <w:p>
      <w:pPr>
        <w:pStyle w:val="TextBody"/>
        <w:bidi w:val="0"/>
        <w:spacing w:before="0" w:after="0"/>
        <w:ind w:left="0" w:right="0" w:hanging="0"/>
        <w:jc w:val="left"/>
        <w:rPr>
          <w:caps w:val="false"/>
          <w:smallCaps w:val="false"/>
        </w:rPr>
      </w:pPr>
      <w:r>
        <w:rPr>
          <w:caps w:val="false"/>
          <w:smallCaps w:val="false"/>
        </w:rPr>
        <w:t> </w:t>
      </w:r>
    </w:p>
    <w:tbl>
      <w:tblPr>
        <w:tblW w:w="4417" w:type="dxa"/>
        <w:jc w:val="left"/>
        <w:tblInd w:w="0" w:type="dxa"/>
        <w:tblLayout w:type="fixed"/>
        <w:tblCellMar>
          <w:top w:w="0" w:type="dxa"/>
          <w:left w:w="0" w:type="dxa"/>
          <w:bottom w:w="0" w:type="dxa"/>
          <w:right w:w="0" w:type="dxa"/>
        </w:tblCellMar>
      </w:tblPr>
      <w:tblGrid>
        <w:gridCol w:w="115"/>
        <w:gridCol w:w="2872"/>
        <w:gridCol w:w="1430"/>
      </w:tblGrid>
      <w:tr>
        <w:trPr/>
        <w:tc>
          <w:tcPr>
            <w:tcW w:w="4417" w:type="dxa"/>
            <w:gridSpan w:val="3"/>
            <w:tcBorders/>
            <w:vAlign w:val="center"/>
          </w:tcPr>
          <w:p>
            <w:pPr>
              <w:pStyle w:val="TableContents"/>
              <w:bidi w:val="0"/>
              <w:spacing w:before="0" w:after="283"/>
              <w:jc w:val="center"/>
              <w:rPr/>
            </w:pPr>
            <w:r>
              <w:rPr/>
              <w:drawing>
                <wp:inline distT="0" distB="0" distL="0" distR="0">
                  <wp:extent cx="2733675" cy="457200"/>
                  <wp:effectExtent l="0" t="0" r="0" b="0"/>
                  <wp:docPr id="7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 descr=""/>
                          <pic:cNvPicPr>
                            <a:picLocks noChangeAspect="1" noChangeArrowheads="1"/>
                          </pic:cNvPicPr>
                        </pic:nvPicPr>
                        <pic:blipFill>
                          <a:blip r:embed="rId61"/>
                          <a:stretch>
                            <a:fillRect/>
                          </a:stretch>
                        </pic:blipFill>
                        <pic:spPr bwMode="auto">
                          <a:xfrm>
                            <a:off x="0" y="0"/>
                            <a:ext cx="2733675" cy="457200"/>
                          </a:xfrm>
                          <a:prstGeom prst="rect">
                            <a:avLst/>
                          </a:prstGeom>
                        </pic:spPr>
                      </pic:pic>
                    </a:graphicData>
                  </a:graphic>
                </wp:inline>
              </w:drawing>
            </w:r>
          </w:p>
        </w:tc>
      </w:tr>
      <w:tr>
        <w:trPr/>
        <w:tc>
          <w:tcPr>
            <w:tcW w:w="4417" w:type="dxa"/>
            <w:gridSpan w:val="3"/>
            <w:tcBorders/>
            <w:vAlign w:val="center"/>
          </w:tcPr>
          <w:p>
            <w:pPr>
              <w:pStyle w:val="TableContents"/>
              <w:bidi w:val="0"/>
              <w:spacing w:before="0" w:after="283"/>
              <w:jc w:val="left"/>
              <w:rPr/>
            </w:pPr>
            <w:r>
              <w:rPr/>
              <w:t> </w:t>
            </w:r>
          </w:p>
        </w:tc>
      </w:tr>
      <w:tr>
        <w:trPr/>
        <w:tc>
          <w:tcPr>
            <w:tcW w:w="115" w:type="dxa"/>
            <w:tcBorders/>
            <w:vAlign w:val="center"/>
          </w:tcPr>
          <w:p>
            <w:pPr>
              <w:pStyle w:val="TableContents"/>
              <w:bidi w:val="0"/>
              <w:spacing w:before="0" w:after="283"/>
              <w:jc w:val="center"/>
              <w:rPr/>
            </w:pPr>
            <w:r>
              <w:rPr/>
              <w:t> </w:t>
            </w:r>
          </w:p>
        </w:tc>
        <w:tc>
          <w:tcPr>
            <w:tcW w:w="2872"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Lexington Avenue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+1 212 446 4800</w:t>
            </w:r>
          </w:p>
        </w:tc>
        <w:tc>
          <w:tcPr>
            <w:tcW w:w="14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Facsimile:</w:t>
              <w:br/>
              <w:t>+1 212 446 4900</w:t>
            </w:r>
          </w:p>
        </w:tc>
      </w:tr>
      <w:tr>
        <w:trPr/>
        <w:tc>
          <w:tcPr>
            <w:tcW w:w="115" w:type="dxa"/>
            <w:tcBorders/>
            <w:vAlign w:val="center"/>
          </w:tcPr>
          <w:p>
            <w:pPr>
              <w:pStyle w:val="TableContents"/>
              <w:bidi w:val="0"/>
              <w:spacing w:before="0" w:after="283"/>
              <w:jc w:val="center"/>
              <w:rPr/>
            </w:pPr>
            <w:r>
              <w:rPr/>
              <w:t> </w:t>
            </w:r>
          </w:p>
        </w:tc>
        <w:tc>
          <w:tcPr>
            <w:tcW w:w="2872"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 </w:t>
            </w:r>
          </w:p>
        </w:tc>
      </w:tr>
      <w:tr>
        <w:trPr/>
        <w:tc>
          <w:tcPr>
            <w:tcW w:w="115" w:type="dxa"/>
            <w:tcBorders/>
            <w:vAlign w:val="center"/>
          </w:tcPr>
          <w:p>
            <w:pPr>
              <w:pStyle w:val="TableContents"/>
              <w:bidi w:val="0"/>
              <w:spacing w:before="0" w:after="283"/>
              <w:jc w:val="center"/>
              <w:rPr/>
            </w:pPr>
            <w:r>
              <w:rPr/>
              <w:t> </w:t>
            </w:r>
          </w:p>
        </w:tc>
        <w:tc>
          <w:tcPr>
            <w:tcW w:w="2872" w:type="dxa"/>
            <w:tcBorders/>
            <w:vAlign w:val="center"/>
          </w:tcPr>
          <w:p>
            <w:pPr>
              <w:pStyle w:val="TableContents"/>
              <w:bidi w:val="0"/>
              <w:spacing w:before="0" w:after="283"/>
              <w:jc w:val="center"/>
              <w:rPr/>
            </w:pPr>
            <w:r>
              <w:rPr/>
              <w:t>www.kirkland.com</w:t>
            </w:r>
          </w:p>
        </w:tc>
        <w:tc>
          <w:tcPr>
            <w:tcW w:w="143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Holdings Capital Corp.</w:t>
        <w:br/>
        <w:t>400 Washington Blvd.</w:t>
        <w:br/>
        <w:t>Stamford, Connecticut 06902</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732"/>
        <w:gridCol w:w="9382"/>
      </w:tblGrid>
      <w:tr>
        <w:trPr/>
        <w:tc>
          <w:tcPr>
            <w:tcW w:w="9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20"/>
              </w:rPr>
            </w:pPr>
            <w:r>
              <w:rPr>
                <w:sz w:val="20"/>
              </w:rPr>
              <w:t>Re:</w:t>
            </w:r>
          </w:p>
        </w:tc>
        <w:tc>
          <w:tcPr>
            <w:tcW w:w="9382" w:type="dxa"/>
            <w:tcBorders/>
            <w:vAlign w:val="center"/>
          </w:tcPr>
          <w:p>
            <w:pPr>
              <w:pStyle w:val="TableContents"/>
              <w:bidi w:val="0"/>
              <w:spacing w:before="0" w:after="283"/>
              <w:jc w:val="left"/>
              <w:rPr>
                <w:u w:val="single"/>
              </w:rPr>
            </w:pPr>
            <w:r>
              <w:rPr>
                <w:u w:val="single"/>
              </w:rPr>
              <w:t>Registration Statement on Form S-3ASR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issuing this opinion letter in our capacity as special legal counsel to Charter Communications, Inc., a Delaware corporation, CCO Holdings Capital Corp., a Delaware corporation (“</w:t>
      </w:r>
      <w:r>
        <w:rPr>
          <w:rFonts w:ascii="Times New Roman;Times;Serif" w:hAnsi="Times New Roman;Times;Serif"/>
          <w:b w:val="false"/>
          <w:i w:val="false"/>
          <w:caps w:val="false"/>
          <w:smallCaps w:val="false"/>
          <w:sz w:val="20"/>
          <w:u w:val="single"/>
        </w:rPr>
        <w:t>CCOH Capital</w:t>
      </w:r>
      <w:r>
        <w:rPr>
          <w:rFonts w:ascii="Times New Roman;Times;Serif" w:hAnsi="Times New Roman;Times;Serif"/>
          <w:b w:val="false"/>
          <w:i w:val="false"/>
          <w:caps w:val="false"/>
          <w:smallCaps w:val="false"/>
          <w:sz w:val="20"/>
        </w:rPr>
        <w:t>”), CCO Holdings, LLC, a Delaware limited liability company (“</w:t>
      </w:r>
      <w:r>
        <w:rPr>
          <w:rFonts w:ascii="Times New Roman;Times;Serif" w:hAnsi="Times New Roman;Times;Serif"/>
          <w:b w:val="false"/>
          <w:i w:val="false"/>
          <w:caps w:val="false"/>
          <w:smallCaps w:val="false"/>
          <w:sz w:val="20"/>
          <w:u w:val="single"/>
        </w:rPr>
        <w:t>CCO Holdings</w:t>
      </w:r>
      <w:r>
        <w:rPr>
          <w:rFonts w:ascii="Times New Roman;Times;Serif" w:hAnsi="Times New Roman;Times;Serif"/>
          <w:b w:val="false"/>
          <w:i w:val="false"/>
          <w:caps w:val="false"/>
          <w:smallCaps w:val="false"/>
          <w:sz w:val="20"/>
        </w:rPr>
        <w:t>” and, together with CCOH Capital, the “</w:t>
      </w:r>
      <w:r>
        <w:rPr>
          <w:rFonts w:ascii="Times New Roman;Times;Serif" w:hAnsi="Times New Roman;Times;Serif"/>
          <w:b w:val="false"/>
          <w:i w:val="false"/>
          <w:caps w:val="false"/>
          <w:smallCaps w:val="false"/>
          <w:sz w:val="20"/>
          <w:u w:val="single"/>
        </w:rPr>
        <w:t>Issuers</w:t>
      </w:r>
      <w:r>
        <w:rPr>
          <w:rFonts w:ascii="Times New Roman;Times;Serif" w:hAnsi="Times New Roman;Times;Serif"/>
          <w:b w:val="false"/>
          <w:i w:val="false"/>
          <w:caps w:val="false"/>
          <w:smallCaps w:val="false"/>
          <w:sz w:val="20"/>
        </w:rPr>
        <w:t xml:space="preserve">”), and each of the entities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and, together with the Issuers, the “</w:t>
      </w:r>
      <w:r>
        <w:rPr>
          <w:rFonts w:ascii="Times New Roman;Times;Serif" w:hAnsi="Times New Roman;Times;Serif"/>
          <w:b w:val="false"/>
          <w:i w:val="false"/>
          <w:caps w:val="false"/>
          <w:smallCaps w:val="false"/>
          <w:sz w:val="20"/>
          <w:u w:val="single"/>
        </w:rPr>
        <w:t>Registrants</w:t>
      </w:r>
      <w:r>
        <w:rPr>
          <w:rFonts w:ascii="Times New Roman;Times;Serif" w:hAnsi="Times New Roman;Times;Serif"/>
          <w:b w:val="false"/>
          <w:i w:val="false"/>
          <w:caps w:val="false"/>
          <w:smallCaps w:val="false"/>
          <w:sz w:val="20"/>
        </w:rPr>
        <w:t>”), in connection with the proposed registration by the Registrants under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on a Registration Statement on Form S-3ASR, and the documents incorporated by refence therein,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on July 27, 2026 (as such registration statement is amended or supplemented,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for the offer and sale from time to time pursuant to Rule 415 under the Act of one or more series of debt securities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The Securities may be issued by the Issuers in connection with an offering or offerings from time to time pursuant to the Registration Statement and will be offered on terms set forth in the Registration Statement and in the prospectus contained in the Registration Statement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and in amounts, at prices and on other terms to be determined by the Issuers at the time of offering and to be set forth in an amendment or amendments to the Registration Statement and the Prospectus and in one or more supplements to the Prospectus (each, a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advised us that the Securities will be issued under an indenture, dated as of May 23, 2019, by and among the Issuers and The Bank of New York Mellon Trust Company, N.A.,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amended and supplemented through the date hereof, and as further amended and supplemented from time to time,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and guaranteed (the “</w:t>
      </w:r>
      <w:r>
        <w:rPr>
          <w:rFonts w:ascii="Times New Roman;Times;Serif" w:hAnsi="Times New Roman;Times;Serif"/>
          <w:b w:val="false"/>
          <w:i w:val="false"/>
          <w:caps w:val="false"/>
          <w:smallCaps w:val="false"/>
          <w:sz w:val="20"/>
          <w:u w:val="single"/>
        </w:rPr>
        <w:t>Guarantees</w:t>
      </w:r>
      <w:r>
        <w:rPr>
          <w:rFonts w:ascii="Times New Roman;Times;Serif" w:hAnsi="Times New Roman;Times;Serif"/>
          <w:b w:val="false"/>
          <w:i w:val="false"/>
          <w:caps w:val="false"/>
          <w:smallCaps w:val="false"/>
          <w:sz w:val="20"/>
        </w:rPr>
        <w:t>”) by the applicable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38375" cy="314325"/>
            <wp:effectExtent l="0" t="0" r="0" b="0"/>
            <wp:docPr id="7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8" descr=""/>
                    <pic:cNvPicPr>
                      <a:picLocks noChangeAspect="1" noChangeArrowheads="1"/>
                    </pic:cNvPicPr>
                  </pic:nvPicPr>
                  <pic:blipFill>
                    <a:blip r:embed="rId62"/>
                    <a:stretch>
                      <a:fillRect/>
                    </a:stretch>
                  </pic:blipFill>
                  <pic:spPr bwMode="auto">
                    <a:xfrm>
                      <a:off x="0" y="0"/>
                      <a:ext cx="2238375" cy="314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companies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under the headings “Delaware Guarantors” are collectively referred to herein as the “</w:t>
      </w:r>
      <w:r>
        <w:rPr>
          <w:rFonts w:ascii="Times New Roman;Times;Serif" w:hAnsi="Times New Roman;Times;Serif"/>
          <w:b w:val="false"/>
          <w:i w:val="false"/>
          <w:caps w:val="false"/>
          <w:smallCaps w:val="false"/>
          <w:sz w:val="20"/>
          <w:u w:val="single"/>
        </w:rPr>
        <w:t>Delaware Guarantors</w:t>
      </w:r>
      <w:r>
        <w:rPr>
          <w:rFonts w:ascii="Times New Roman;Times;Serif" w:hAnsi="Times New Roman;Times;Serif"/>
          <w:b w:val="false"/>
          <w:i w:val="false"/>
          <w:caps w:val="false"/>
          <w:smallCaps w:val="false"/>
          <w:sz w:val="20"/>
        </w:rPr>
        <w:t>.” The companies listed on Exhibit A hereto under the heading “Other Guarantors” are collectively referred to herein as the “</w:t>
      </w:r>
      <w:r>
        <w:rPr>
          <w:rFonts w:ascii="Times New Roman;Times;Serif" w:hAnsi="Times New Roman;Times;Serif"/>
          <w:b w:val="false"/>
          <w:i w:val="false"/>
          <w:caps w:val="false"/>
          <w:smallCaps w:val="false"/>
          <w:sz w:val="20"/>
          <w:u w:val="single"/>
        </w:rPr>
        <w:t>Other Guarantors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provides that the Issuers may sell the Securities registered thereby (i) through underwriters or dealers, (ii) directly to one or more other purchasers, (iii) through agents or (iv) through a combination of any of these methods. The applicable Prospectus Supplement with respect to the Securities offered will set forth the terms of the offering of such Securities, including the name or names of any underwriters, dealers or agents, the purchase price of such Securities and the proceeds to the Issuers from such sale, any underwriting discounts and other items constituting underwriters’ compensation, any initial public offering price and any discounts, commissions or concessions allowed or reallowed or paid to dealers, and any bidding or auction process. If underwriters are used in an offering of Securities registered by the Registration Statement, the Registration Statement anticipates that the Issuers will sell such Securities pursuant to the terms of an underwriting agreement to be executed between the Issuers and underwriters that will be identified in the applicable Prospectus Supplement. We have assumed for purposes of this letter that the terms of the Underwriting Agreement will fall within the scope of the authorization adopted by the board of directors, sole director, board of managers, managing committee, manager, sole member or other applicable governing body, as applicable, of the Issuers and the applicable Guarantors (“</w:t>
      </w:r>
      <w:r>
        <w:rPr>
          <w:rFonts w:ascii="Times New Roman;Times;Serif" w:hAnsi="Times New Roman;Times;Serif"/>
          <w:b w:val="false"/>
          <w:i w:val="false"/>
          <w:caps w:val="false"/>
          <w:smallCaps w:val="false"/>
          <w:sz w:val="20"/>
          <w:u w:val="single"/>
        </w:rPr>
        <w:t>Board Authorization</w:t>
      </w:r>
      <w:r>
        <w:rPr>
          <w:rFonts w:ascii="Times New Roman;Times;Serif" w:hAnsi="Times New Roman;Times;Serif"/>
          <w:b w:val="false"/>
          <w:i w:val="false"/>
          <w:caps w:val="false"/>
          <w:smallCaps w:val="false"/>
          <w:sz w:val="20"/>
        </w:rPr>
        <w:t>”) and will receive the approvals required by that Board Authorization. The term “Underwriting Agreement” is used in this letter to mean an underwriting agreement in the form in which it will be actually executed by the Issuers and the underwriters with respect to a particular underwritten offering of Securities registered by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therewith, we have examined originals, or copies certified or otherwise identified to our satisfaction, of such documents, corporate records and other instruments as we have deemed necessary for the purpose of this opinion, including (i) the corporate and organizational documents of the Issuers and the Delaware Guarantors, (ii) minutes and records of the corporate proceedings of the Issuers and the Delaware Guarantors with respect to the Registration Statement, (iii) the Registration Statement, (iv) the Indenture (including the Guarantees) and (v) forms of the Securities. The term “Transaction Documents” is used in this letter to refer collectively to the Underwriting Agreement, the Indenture, the Securities and the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opinion, we have assumed the authenticity of all documents submitted to us as originals, the conformity to the originals of all documents submitted to us as copies and the authenticity of the originals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Issuers and the Delaware Guarantors), and the due authorization, execution and delivery of all documents by the parties thereto (other than the Issuers and the Delaware Guarantors). As to any facts material to the opinions expressed herein which we have not independently established or verified, we have relied upon statements and representations of officers and other representatives of the Issuers and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38375" cy="314325"/>
            <wp:effectExtent l="0" t="0" r="0" b="0"/>
            <wp:docPr id="7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9" descr=""/>
                    <pic:cNvPicPr>
                      <a:picLocks noChangeAspect="1" noChangeArrowheads="1"/>
                    </pic:cNvPicPr>
                  </pic:nvPicPr>
                  <pic:blipFill>
                    <a:blip r:embed="rId63"/>
                    <a:stretch>
                      <a:fillRect/>
                    </a:stretch>
                  </pic:blipFill>
                  <pic:spPr bwMode="auto">
                    <a:xfrm>
                      <a:off x="0" y="0"/>
                      <a:ext cx="2238375" cy="314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assumed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(i)</w:t>
            </w:r>
          </w:p>
        </w:tc>
        <w:tc>
          <w:tcPr>
            <w:tcW w:w="9984" w:type="dxa"/>
            <w:tcBorders/>
            <w:vAlign w:val="center"/>
          </w:tcPr>
          <w:p>
            <w:pPr>
              <w:pStyle w:val="TableContents"/>
              <w:bidi w:val="0"/>
              <w:spacing w:before="0" w:after="283"/>
              <w:jc w:val="both"/>
              <w:rPr/>
            </w:pPr>
            <w:r>
              <w:rPr/>
              <w:t>the Registration Statement shall have become effective pursuant to the provisions of the Act and will remain effective and comply with all applicable laws at the time the Securities are offered or issued as contemplated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(ii)</w:t>
            </w:r>
          </w:p>
        </w:tc>
        <w:tc>
          <w:tcPr>
            <w:tcW w:w="9940" w:type="dxa"/>
            <w:tcBorders/>
            <w:vAlign w:val="center"/>
          </w:tcPr>
          <w:p>
            <w:pPr>
              <w:pStyle w:val="TableContents"/>
              <w:bidi w:val="0"/>
              <w:spacing w:before="0" w:after="283"/>
              <w:jc w:val="both"/>
              <w:rPr/>
            </w:pPr>
            <w:r>
              <w:rPr/>
              <w:t>a Prospectus Supplement or Prospectus Supplements with respect to the Securities shall have been filed (or transmitted for filing) with the Commission pursuant to Rule 424(b) of the Act and any exhibits necessary under the rules and regulations of the Commission shall have been filed with the Commission in an amendment to the Registration Statement or incorporated by reference into the Registration Statement pursuant to a Current Report on Form 8-K of the Issuers filed with the Commission and will comply with all applicable laws,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4"/>
        <w:gridCol w:w="9854"/>
      </w:tblGrid>
      <w:tr>
        <w:trPr/>
        <w:tc>
          <w:tcPr>
            <w:tcW w:w="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(iii)</w:t>
            </w:r>
          </w:p>
        </w:tc>
        <w:tc>
          <w:tcPr>
            <w:tcW w:w="9854" w:type="dxa"/>
            <w:tcBorders/>
            <w:vAlign w:val="center"/>
          </w:tcPr>
          <w:p>
            <w:pPr>
              <w:pStyle w:val="TableContents"/>
              <w:bidi w:val="0"/>
              <w:spacing w:before="0" w:after="283"/>
              <w:jc w:val="both"/>
              <w:rPr/>
            </w:pPr>
            <w:r>
              <w:rPr/>
              <w:t>the Securities will be issued and sold in the manner stated in the Registration Statement, and in the form and containing the terms set forth in the Registration Statement and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8"/>
        <w:gridCol w:w="9840"/>
      </w:tblGrid>
      <w:tr>
        <w:trPr/>
        <w:tc>
          <w:tcPr>
            <w:tcW w:w="3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(iv)</w:t>
            </w:r>
          </w:p>
        </w:tc>
        <w:tc>
          <w:tcPr>
            <w:tcW w:w="9840" w:type="dxa"/>
            <w:tcBorders/>
            <w:vAlign w:val="center"/>
          </w:tcPr>
          <w:p>
            <w:pPr>
              <w:pStyle w:val="TableContents"/>
              <w:bidi w:val="0"/>
              <w:spacing w:before="0" w:after="283"/>
              <w:jc w:val="both"/>
              <w:rPr/>
            </w:pPr>
            <w:r>
              <w:rPr/>
              <w:t>the Guarantees will have been duly authorized, executed and delivered by the Other Guarantors (to the extent they are party to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(v)</w:t>
            </w:r>
          </w:p>
        </w:tc>
        <w:tc>
          <w:tcPr>
            <w:tcW w:w="9917" w:type="dxa"/>
            <w:tcBorders/>
            <w:vAlign w:val="center"/>
          </w:tcPr>
          <w:p>
            <w:pPr>
              <w:pStyle w:val="TableContents"/>
              <w:bidi w:val="0"/>
              <w:spacing w:before="0" w:after="283"/>
              <w:jc w:val="both"/>
              <w:rPr/>
            </w:pPr>
            <w:r>
              <w:rPr/>
              <w:t>a definitive Underwriting Agreement will have been duly authorized and validly executed and delivered by the Issuers, the Guarantors (to the extent they are party thereto) and the other parties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(vi)</w:t>
            </w:r>
          </w:p>
        </w:tc>
        <w:tc>
          <w:tcPr>
            <w:tcW w:w="9859" w:type="dxa"/>
            <w:tcBorders/>
            <w:vAlign w:val="center"/>
          </w:tcPr>
          <w:p>
            <w:pPr>
              <w:pStyle w:val="TableContents"/>
              <w:bidi w:val="0"/>
              <w:spacing w:before="0" w:after="283"/>
              <w:jc w:val="both"/>
              <w:rPr/>
            </w:pPr>
            <w:r>
              <w:rPr/>
              <w:t>the terms of the Indenture are or will have been consistent with the description of the terms of such agreement set forth in the Registration Statement and in the Prospectus Supplement or Prospectus Supplements;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3"/>
        <w:gridCol w:w="9785"/>
      </w:tblGrid>
      <w:tr>
        <w:trPr/>
        <w:tc>
          <w:tcPr>
            <w:tcW w:w="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pPr>
            <w:r>
              <w:rPr/>
              <w:t>(vii)</w:t>
            </w:r>
          </w:p>
        </w:tc>
        <w:tc>
          <w:tcPr>
            <w:tcW w:w="9785" w:type="dxa"/>
            <w:tcBorders/>
            <w:vAlign w:val="center"/>
          </w:tcPr>
          <w:p>
            <w:pPr>
              <w:pStyle w:val="TableContents"/>
              <w:bidi w:val="0"/>
              <w:spacing w:before="0" w:after="283"/>
              <w:jc w:val="both"/>
              <w:rPr/>
            </w:pPr>
            <w:r>
              <w:rPr/>
              <w:t>appropriate corporate action shall have been taken to authorize the issuance and sale of, and such authorization will not have been modified or rescinded;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10"/>
        <w:gridCol w:w="9758"/>
      </w:tblGrid>
      <w:tr>
        <w:trPr/>
        <w:tc>
          <w:tcPr>
            <w:tcW w:w="3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(viii)</w:t>
            </w:r>
          </w:p>
        </w:tc>
        <w:tc>
          <w:tcPr>
            <w:tcW w:w="9758" w:type="dxa"/>
            <w:tcBorders/>
            <w:vAlign w:val="center"/>
          </w:tcPr>
          <w:p>
            <w:pPr>
              <w:pStyle w:val="TableContents"/>
              <w:bidi w:val="0"/>
              <w:spacing w:before="0" w:after="283"/>
              <w:jc w:val="both"/>
              <w:rPr/>
            </w:pPr>
            <w:r>
              <w:rPr/>
              <w:t>the issuance, sale and delivery of the Securities, the terms of the Securities and compliance by each of Issuers and the Guarantors (to the extent they are party to the Indenture) with the terms of the Securities will not violate any applicable law, any agreement or instrument then binding upon the Issuers or such Guarantors or any restriction imposed by any court or governmental body having jurisdiction over the Issuers or such Guarantors;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38375" cy="314325"/>
            <wp:effectExtent l="0" t="0" r="0" b="0"/>
            <wp:docPr id="7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0" descr=""/>
                    <pic:cNvPicPr>
                      <a:picLocks noChangeAspect="1" noChangeArrowheads="1"/>
                    </pic:cNvPicPr>
                  </pic:nvPicPr>
                  <pic:blipFill>
                    <a:blip r:embed="rId64"/>
                    <a:stretch>
                      <a:fillRect/>
                    </a:stretch>
                  </pic:blipFill>
                  <pic:spPr bwMode="auto">
                    <a:xfrm>
                      <a:off x="0" y="0"/>
                      <a:ext cx="2238375" cy="314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2"/>
        <w:gridCol w:w="9846"/>
      </w:tblGrid>
      <w:tr>
        <w:trPr/>
        <w:tc>
          <w:tcPr>
            <w:tcW w:w="3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(ix)</w:t>
            </w:r>
          </w:p>
        </w:tc>
        <w:tc>
          <w:tcPr>
            <w:tcW w:w="9846" w:type="dxa"/>
            <w:tcBorders/>
            <w:vAlign w:val="center"/>
          </w:tcPr>
          <w:p>
            <w:pPr>
              <w:pStyle w:val="TableContents"/>
              <w:bidi w:val="0"/>
              <w:spacing w:before="0" w:after="283"/>
              <w:jc w:val="both"/>
              <w:rPr/>
            </w:pPr>
            <w:r>
              <w:rPr/>
              <w:t>any legally required consents, approvals, authorizations and other orders of the Commission and any other regulatory authorities shall have been obtained;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(x)</w:t>
            </w:r>
          </w:p>
        </w:tc>
        <w:tc>
          <w:tcPr>
            <w:tcW w:w="9894" w:type="dxa"/>
            <w:tcBorders/>
            <w:vAlign w:val="center"/>
          </w:tcPr>
          <w:p>
            <w:pPr>
              <w:pStyle w:val="TableContents"/>
              <w:bidi w:val="0"/>
              <w:spacing w:before="0" w:after="283"/>
              <w:jc w:val="both"/>
              <w:rPr/>
            </w:pPr>
            <w:r>
              <w:rPr/>
              <w:t>there will not have occurred any change in law affecting the validity, legally binding character or enforceability of the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assumptions, qualifications and limitations identified in this opinion, we are of the opinion that when (i) the Securities have been duly executed, delivered and paid for in accordance with the Underwriting Agreement, (ii) the Indenture has been duly authorized, executed and delivered by the Issuers, the Guarantors (to the extent they are party thereto) and the Trustee, (iii) the Indenture has been qualified under the Trust Indenture Act of 1939, as amended and (iv) the Securities have been fully authenticated by the Trustee, the Securities will constitute legal, valid and binding obligations of the Issuers and the Guarantors (to the extent they are party thereto), enforceable against the Issuers and the Guarantors (to the extent they are party thereto)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opinion in this letter that any particular contract constitutes a valid and binding agreement or is enforceable in accordance with its terms (each, an “enforceability opinion”) is subject to: (i) the effect of bankruptcy, insolvency, fraudulent conveyance and other similar laws and judicially developed doctrines in this area such as substantive consolidation and equitable subordination; (ii) the effect of general principles of equity; and (iii) other commonly recognized statutory and judicial constraints on enforceability including statutes of limitations. “General principles of equity” include but are not limited to: (A) principles limiting the availability of specific performance and injunctive relief; (B) principles which limit the availability of a remedy under certain circumstances where another remedy has been elected; (C) principles requiring reasonableness, good faith and fair dealing in the performance and enforcement of an agreement by the party seeking enforcement; (D) principles which may permit a party to cure a material failure to perform its obligations; and (E) principles affording equitable defenses such as waiver, laches and estoppel. It is possible that terms in a particular contract covered by our enforceability opinion may not prove enforceable for reasons other than those explicitly cited in this letter should an actual enforcement action be brought, but (subject to all the exceptions, qualifications, exclusions and other limitations contained in this letter) such unenforceability would not in our opinion prevent the party entitled to enforce that contract from realizing the principal benefits purported to be provided to that party by the terms in that contract which are covered by our enforceability opinion. In addition, none of the opinions or other advice contained in this letter covers or otherwise addresses any of the following types of provisions (or the enforceability thereof) which may be contained in the Transaction Documents: (i) provisions mandating contribution towards judgments or settlements among various parties; (ii) waivers of benefits and rights to the extent they cannot be waived under applicable law; (iii) provisions providing for liquidated damages, late charges and prepayment charges, in each case if deemed to constitute penalties; (iv) provisions which might require indemnification or contribution in violation of general principles of equity or public policy, including, without limitation, indemnification or contribution obligations which arise out of the failure to comply with applicable state or federal securities laws, rules or regulations; or (v) requirements in the Transaction Documents specifying that provisions thereof may only be waived in writing (these provisions may not be valid, binding or enforceable to the extent that an oral agreement or an implied agreement by trade practice or course of conduct has been created modifying any provision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38375" cy="314325"/>
            <wp:effectExtent l="0" t="0" r="0" b="0"/>
            <wp:docPr id="7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1" descr=""/>
                    <pic:cNvPicPr>
                      <a:picLocks noChangeAspect="1" noChangeArrowheads="1"/>
                    </pic:cNvPicPr>
                  </pic:nvPicPr>
                  <pic:blipFill>
                    <a:blip r:embed="rId65"/>
                    <a:stretch>
                      <a:fillRect/>
                    </a:stretch>
                  </pic:blipFill>
                  <pic:spPr bwMode="auto">
                    <a:xfrm>
                      <a:off x="0" y="0"/>
                      <a:ext cx="2238375" cy="314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advice on every legal issue addressed in this opinion is based exclusively on the internal law of the State of New York, the General Corporation Law of the State of Delaware and the Delaware Limited Liability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find it necessary for the purposes of this opinion, and accordingly we do not purport to cover herein, the application of the securities or “Blue Sky” laws of the various states to the issuance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specific issues addressed herein, and no opinion may be inferred or implied beyond that expressly stated herein. This opinion speaks only as of the date that the Registration Statement becomes effective under the Act, and we assume no obligation to revise or supplement this opinion should the present laws of the State of New York, the General Corporation Law of the State of Delaware or the Delaware Limited Liability Company Act be changed by legislative action, judicial decision or otherwise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furnished to you in connection with the filing of the Registration Statement and is not to be used, circulated, quoted or otherwise relied upon for any other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5.2 to the Registration Statement. We also consent to the reference to our firm under the heading “Legal Matters” in the Registration Statement. In giving this consent, we do not thereby admit that we are in the category of persons whose consent is required under Section 7 of the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38375" cy="314325"/>
            <wp:effectExtent l="0" t="0" r="0" b="0"/>
            <wp:docPr id="7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2" descr=""/>
                    <pic:cNvPicPr>
                      <a:picLocks noChangeAspect="1" noChangeArrowheads="1"/>
                    </pic:cNvPicPr>
                  </pic:nvPicPr>
                  <pic:blipFill>
                    <a:blip r:embed="rId66"/>
                    <a:stretch>
                      <a:fillRect/>
                    </a:stretch>
                  </pic:blipFill>
                  <pic:spPr bwMode="auto">
                    <a:xfrm>
                      <a:off x="0" y="0"/>
                      <a:ext cx="2238375" cy="314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w:t>
      </w:r>
    </w:p>
    <w:p>
      <w:pPr>
        <w:pStyle w:val="TextBody"/>
        <w:bidi w:val="0"/>
        <w:spacing w:before="0" w:after="0"/>
        <w:ind w:left="0" w:right="0" w:hanging="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Kirkland &amp; Ellis LLP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KIRKLAND &amp; ELLIS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Delaware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BNH IP Enabled Services,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Digital Services,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 House Networks Information Services (Alabama),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 House Networks Information Services (California),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 House Networks Information Services (Florida),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 House Networks Information Services (Indiana),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 House Networks Information Services (Michigan),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Fiberlink,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VI Fiberlink,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VII Fiberlink,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Fiberlink,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NR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Inc., a Delaware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ASC,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Capital Corp., a Delaware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SSC,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Distribution,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Alabama,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Georgia,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Illinois,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Maryland II,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Michigan,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Missouri,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Nebraska,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Tennessee,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CA-CCO,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CC VIII,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CT-CCO,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LA-CCO,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MA-CCO,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MS-CCVI,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NC-CCO,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NH-CCO,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NV-CCVII,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NY-CCO,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OR-CCVII,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SC-CCO,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TX-CCO,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VA-CCO,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VT-CCO,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WA-CCVII,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IP Enabled Services,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Leasing Holding Company,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Procurement Leasing,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DukeNet Communications,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Innovar Media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Marcus Cable Associates,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Advanced Services,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Fiberlink Florida,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Gulf Coast,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Mid-America,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Equipment,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New York Metro,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NLP,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Northeast,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Oceanic,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Development,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Pacific West,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Reach,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RSN,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Southeast,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SportsNet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Sunshine State,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TV Essentials,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Wireless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Business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Enterprises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(Alabama),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(Arizona),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(California),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(Colorado),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(Hawaii),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(Idaho),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(Illinois),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(Indiana),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(Kansas),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(Kentucky),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(Maine),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(Massachusetts),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(Michigan),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(Missouri),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(Nebraska),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(New Hampshire),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(New Jersey),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(New Mexico)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(New York),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(North Carolina),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(Ohio),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(Pennsylvania),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(South Carolina),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(Tennessee),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(Texas),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(Virginia),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(Washington),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(West Virginia),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(Wisconsin),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Administration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Communications,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IP Enabled Services,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SEE Holdco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TWCIS Holdco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Visual Advertising Sales Technology,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Guarantors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of Colorado, LLC, a Colorado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of Montana, LLC, a Montana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of Utah, LLC, a Utah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of Wyoming, LLC, a Wyoming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
        </w:rPr>
      </w:pPr>
      <w:bookmarkStart w:id="19" w:name="tm2621265d2_ex5-3.htm"/>
      <w:bookmarkStart w:id="20" w:name="kstm2621265d2_ex53"/>
      <w:bookmarkEnd w:id="19"/>
      <w:bookmarkEnd w:id="20"/>
      <w:r>
        <w:rPr>
          <w:b/>
        </w:rPr>
        <w:t>Exhibit 5.3</w:t>
      </w:r>
      <w:r>
        <w:br w:type="page"/>
      </w:r>
    </w:p>
    <w:p>
      <w:pPr>
        <w:pStyle w:val="TextBody"/>
        <w:bidi w:val="0"/>
        <w:spacing w:before="0" w:after="0"/>
        <w:ind w:left="0" w:right="0" w:hanging="0"/>
        <w:jc w:val="left"/>
        <w:rPr/>
      </w:pPr>
      <w:r>
        <w:rPr/>
        <w:t> </w:t>
      </w:r>
    </w:p>
    <w:tbl>
      <w:tblPr>
        <w:tblW w:w="5135" w:type="dxa"/>
        <w:jc w:val="left"/>
        <w:tblInd w:w="0" w:type="dxa"/>
        <w:tblLayout w:type="fixed"/>
        <w:tblCellMar>
          <w:top w:w="0" w:type="dxa"/>
          <w:left w:w="0" w:type="dxa"/>
          <w:bottom w:w="0" w:type="dxa"/>
          <w:right w:w="0" w:type="dxa"/>
        </w:tblCellMar>
      </w:tblPr>
      <w:tblGrid>
        <w:gridCol w:w="75"/>
        <w:gridCol w:w="3630"/>
        <w:gridCol w:w="1430"/>
      </w:tblGrid>
      <w:tr>
        <w:trPr/>
        <w:tc>
          <w:tcPr>
            <w:tcW w:w="75" w:type="dxa"/>
            <w:tcBorders/>
            <w:vAlign w:val="center"/>
          </w:tcPr>
          <w:p>
            <w:pPr>
              <w:pStyle w:val="TableContents"/>
              <w:bidi w:val="0"/>
              <w:spacing w:before="0" w:after="283"/>
              <w:jc w:val="center"/>
              <w:rPr/>
            </w:pPr>
            <w:r>
              <w:rPr/>
              <w:t> </w:t>
            </w:r>
          </w:p>
        </w:tc>
        <w:tc>
          <w:tcPr>
            <w:tcW w:w="3630" w:type="dxa"/>
            <w:tcBorders/>
            <w:vAlign w:val="center"/>
          </w:tcPr>
          <w:p>
            <w:pPr>
              <w:pStyle w:val="TableContents"/>
              <w:bidi w:val="0"/>
              <w:spacing w:before="0" w:after="283"/>
              <w:jc w:val="center"/>
              <w:rPr/>
            </w:pPr>
            <w:r>
              <w:rPr/>
              <w:drawing>
                <wp:inline distT="0" distB="0" distL="0" distR="0">
                  <wp:extent cx="2266950" cy="314325"/>
                  <wp:effectExtent l="0" t="0" r="0" b="0"/>
                  <wp:docPr id="7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3" descr=""/>
                          <pic:cNvPicPr>
                            <a:picLocks noChangeAspect="1" noChangeArrowheads="1"/>
                          </pic:cNvPicPr>
                        </pic:nvPicPr>
                        <pic:blipFill>
                          <a:blip r:embed="rId67"/>
                          <a:stretch>
                            <a:fillRect/>
                          </a:stretch>
                        </pic:blipFill>
                        <pic:spPr bwMode="auto">
                          <a:xfrm>
                            <a:off x="0" y="0"/>
                            <a:ext cx="2266950" cy="314325"/>
                          </a:xfrm>
                          <a:prstGeom prst="rect">
                            <a:avLst/>
                          </a:prstGeom>
                        </pic:spPr>
                      </pic:pic>
                    </a:graphicData>
                  </a:graphic>
                </wp:inline>
              </w:drawing>
            </w:r>
            <w:r>
              <w:rPr/>
              <w:t> </w:t>
            </w:r>
          </w:p>
        </w:tc>
        <w:tc>
          <w:tcPr>
            <w:tcW w:w="1430"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3630" w:type="dxa"/>
            <w:tcBorders/>
            <w:vAlign w:val="center"/>
          </w:tcPr>
          <w:p>
            <w:pPr>
              <w:pStyle w:val="TableContents"/>
              <w:bidi w:val="0"/>
              <w:spacing w:before="0" w:after="283"/>
              <w:jc w:val="center"/>
              <w:rPr/>
            </w:pPr>
            <w:r>
              <w:rPr/>
              <w:t> </w:t>
            </w:r>
          </w:p>
        </w:tc>
        <w:tc>
          <w:tcPr>
            <w:tcW w:w="1430"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36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601 Lexington Avenue</w:t>
            </w:r>
          </w:p>
        </w:tc>
        <w:tc>
          <w:tcPr>
            <w:tcW w:w="1430"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36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New York, NY 10022</w:t>
            </w:r>
          </w:p>
        </w:tc>
        <w:tc>
          <w:tcPr>
            <w:tcW w:w="1430"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36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1430"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3630" w:type="dxa"/>
            <w:tcBorders/>
            <w:vAlign w:val="center"/>
          </w:tcPr>
          <w:p>
            <w:pPr>
              <w:pStyle w:val="TableContents"/>
              <w:bidi w:val="0"/>
              <w:spacing w:before="0" w:after="283"/>
              <w:jc w:val="center"/>
              <w:rPr/>
            </w:pPr>
            <w:r>
              <w:rPr/>
              <w:t> </w:t>
            </w:r>
          </w:p>
        </w:tc>
        <w:tc>
          <w:tcPr>
            <w:tcW w:w="14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Facsimile:</w:t>
            </w:r>
          </w:p>
        </w:tc>
      </w:tr>
      <w:tr>
        <w:trPr/>
        <w:tc>
          <w:tcPr>
            <w:tcW w:w="75" w:type="dxa"/>
            <w:tcBorders/>
            <w:vAlign w:val="center"/>
          </w:tcPr>
          <w:p>
            <w:pPr>
              <w:pStyle w:val="TableContents"/>
              <w:bidi w:val="0"/>
              <w:spacing w:before="0" w:after="283"/>
              <w:jc w:val="center"/>
              <w:rPr/>
            </w:pPr>
            <w:r>
              <w:rPr/>
              <w:t> </w:t>
            </w:r>
          </w:p>
        </w:tc>
        <w:tc>
          <w:tcPr>
            <w:tcW w:w="36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+1 212 446 4800</w:t>
            </w:r>
          </w:p>
        </w:tc>
        <w:tc>
          <w:tcPr>
            <w:tcW w:w="14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+1 212 446 4900</w:t>
            </w:r>
          </w:p>
        </w:tc>
      </w:tr>
      <w:tr>
        <w:trPr/>
        <w:tc>
          <w:tcPr>
            <w:tcW w:w="75" w:type="dxa"/>
            <w:tcBorders/>
            <w:vAlign w:val="center"/>
          </w:tcPr>
          <w:p>
            <w:pPr>
              <w:pStyle w:val="TableContents"/>
              <w:bidi w:val="0"/>
              <w:spacing w:before="0" w:after="283"/>
              <w:jc w:val="center"/>
              <w:rPr/>
            </w:pPr>
            <w:r>
              <w:rPr/>
              <w:t> </w:t>
            </w:r>
          </w:p>
        </w:tc>
        <w:tc>
          <w:tcPr>
            <w:tcW w:w="3630" w:type="dxa"/>
            <w:tcBorders/>
            <w:vAlign w:val="center"/>
          </w:tcPr>
          <w:p>
            <w:pPr>
              <w:pStyle w:val="TableContents"/>
              <w:bidi w:val="0"/>
              <w:spacing w:before="0" w:after="283"/>
              <w:jc w:val="center"/>
              <w:rPr/>
            </w:pPr>
            <w:r>
              <w:rPr/>
              <w:t> </w:t>
            </w:r>
          </w:p>
        </w:tc>
        <w:tc>
          <w:tcPr>
            <w:tcW w:w="1430"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36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www.kirkland.com</w:t>
            </w:r>
          </w:p>
        </w:tc>
        <w:tc>
          <w:tcPr>
            <w:tcW w:w="143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 Washington Blvd.</w:t>
        <w:br/>
        <w:t>Stamford, Connecticut 06902</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732"/>
        <w:gridCol w:w="9382"/>
      </w:tblGrid>
      <w:tr>
        <w:trPr/>
        <w:tc>
          <w:tcPr>
            <w:tcW w:w="9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20"/>
              </w:rPr>
            </w:pPr>
            <w:r>
              <w:rPr>
                <w:sz w:val="20"/>
              </w:rPr>
              <w:t>Re:</w:t>
            </w:r>
          </w:p>
        </w:tc>
        <w:tc>
          <w:tcPr>
            <w:tcW w:w="9382" w:type="dxa"/>
            <w:tcBorders/>
            <w:vAlign w:val="center"/>
          </w:tcPr>
          <w:p>
            <w:pPr>
              <w:pStyle w:val="TableContents"/>
              <w:bidi w:val="0"/>
              <w:spacing w:before="0" w:after="283"/>
              <w:jc w:val="left"/>
              <w:rPr>
                <w:u w:val="single"/>
              </w:rPr>
            </w:pPr>
            <w:r>
              <w:rPr>
                <w:u w:val="single"/>
              </w:rPr>
              <w:t>Registration Statement on Form S-3ASR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issuing this opinion letter in our capacity as special legal counsel to Charter Communications, Inc., a Delaware corporation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xml:space="preserve">”), and each of the entities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and, together with the Issuer, the “</w:t>
      </w:r>
      <w:r>
        <w:rPr>
          <w:rFonts w:ascii="Times New Roman;Times;Serif" w:hAnsi="Times New Roman;Times;Serif"/>
          <w:b w:val="false"/>
          <w:i w:val="false"/>
          <w:caps w:val="false"/>
          <w:smallCaps w:val="false"/>
          <w:sz w:val="20"/>
          <w:u w:val="single"/>
        </w:rPr>
        <w:t>Registrants</w:t>
      </w:r>
      <w:r>
        <w:rPr>
          <w:rFonts w:ascii="Times New Roman;Times;Serif" w:hAnsi="Times New Roman;Times;Serif"/>
          <w:b w:val="false"/>
          <w:i w:val="false"/>
          <w:caps w:val="false"/>
          <w:smallCaps w:val="false"/>
          <w:sz w:val="20"/>
        </w:rPr>
        <w:t>”), in connection with the proposed registration by the Registrants under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on a Registration Statement on Form S-3ASR, and the documents incorporated by refence therein,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on July 27, 2026 (as such registration statement is amended or supplemented,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for the offer and sale from time to time pursuant to Rule 415 under the Act of one or more series of debt securities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The Securities may be issued by the Issuer in connection with an offering or offerings from time to time pursuant to the Registration Statement and will be offered on terms set forth in the Registration Statement and in the prospectus contained in the Registration Statement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and in amounts, at prices and on other terms to be determined by the Issuer at the time of offering and to be set forth in an amendment or amendments to the Registration Statement and the Prospectus and in one or more supplements to the Prospectus (each, a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advised us that the Securities are to be issued by the Issuer pursuant to one or more indentures and supplemental indentures (the “</w:t>
      </w:r>
      <w:r>
        <w:rPr>
          <w:rFonts w:ascii="Times New Roman;Times;Serif" w:hAnsi="Times New Roman;Times;Serif"/>
          <w:b w:val="false"/>
          <w:i w:val="false"/>
          <w:caps w:val="false"/>
          <w:smallCaps w:val="false"/>
          <w:sz w:val="20"/>
          <w:u w:val="single"/>
        </w:rPr>
        <w:t>Indentures</w:t>
      </w:r>
      <w:r>
        <w:rPr>
          <w:rFonts w:ascii="Times New Roman;Times;Serif" w:hAnsi="Times New Roman;Times;Serif"/>
          <w:b w:val="false"/>
          <w:i w:val="false"/>
          <w:caps w:val="false"/>
          <w:smallCaps w:val="false"/>
          <w:sz w:val="20"/>
        </w:rPr>
        <w:t>”) to be entered into by the Issuer, the guarantors party thereto from time to time and The Bank of New York Mellon Trust Company, N.A.,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and guaranteed (the “</w:t>
      </w:r>
      <w:r>
        <w:rPr>
          <w:rFonts w:ascii="Times New Roman;Times;Serif" w:hAnsi="Times New Roman;Times;Serif"/>
          <w:b w:val="false"/>
          <w:i w:val="false"/>
          <w:caps w:val="false"/>
          <w:smallCaps w:val="false"/>
          <w:sz w:val="20"/>
          <w:u w:val="single"/>
        </w:rPr>
        <w:t>Guarantees</w:t>
      </w:r>
      <w:r>
        <w:rPr>
          <w:rFonts w:ascii="Times New Roman;Times;Serif" w:hAnsi="Times New Roman;Times;Serif"/>
          <w:b w:val="false"/>
          <w:i w:val="false"/>
          <w:caps w:val="false"/>
          <w:smallCaps w:val="false"/>
          <w:sz w:val="20"/>
        </w:rPr>
        <w:t>”) by the applicable Guarantors. The Indentures will be executed and filed in an amendment to the Registration Statement (or incorporated by reference into the Registration Statement) prior to the offering of 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companies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under the headings “Delaware Guarantors” are collectively referred to herein as the “</w:t>
      </w:r>
      <w:r>
        <w:rPr>
          <w:rFonts w:ascii="Times New Roman;Times;Serif" w:hAnsi="Times New Roman;Times;Serif"/>
          <w:b w:val="false"/>
          <w:i w:val="false"/>
          <w:caps w:val="false"/>
          <w:smallCaps w:val="false"/>
          <w:sz w:val="20"/>
          <w:u w:val="single"/>
        </w:rPr>
        <w:t>Delaware Guarantors</w:t>
      </w:r>
      <w:r>
        <w:rPr>
          <w:rFonts w:ascii="Times New Roman;Times;Serif" w:hAnsi="Times New Roman;Times;Serif"/>
          <w:b w:val="false"/>
          <w:i w:val="false"/>
          <w:caps w:val="false"/>
          <w:smallCaps w:val="false"/>
          <w:sz w:val="20"/>
        </w:rPr>
        <w:t>.” The companies listed on Exhibit A hereto under the heading “Other Guarantors” are collectively referred to herein as the “</w:t>
      </w:r>
      <w:r>
        <w:rPr>
          <w:rFonts w:ascii="Times New Roman;Times;Serif" w:hAnsi="Times New Roman;Times;Serif"/>
          <w:b w:val="false"/>
          <w:i w:val="false"/>
          <w:caps w:val="false"/>
          <w:smallCaps w:val="false"/>
          <w:sz w:val="20"/>
          <w:u w:val="single"/>
        </w:rPr>
        <w:t>Other Guarantors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38325" cy="152400"/>
            <wp:effectExtent l="0" t="0" r="0" b="0"/>
            <wp:docPr id="7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4" descr=""/>
                    <pic:cNvPicPr>
                      <a:picLocks noChangeAspect="1" noChangeArrowheads="1"/>
                    </pic:cNvPicPr>
                  </pic:nvPicPr>
                  <pic:blipFill>
                    <a:blip r:embed="rId68"/>
                    <a:stretch>
                      <a:fillRect/>
                    </a:stretch>
                  </pic:blipFill>
                  <pic:spPr bwMode="auto">
                    <a:xfrm>
                      <a:off x="0" y="0"/>
                      <a:ext cx="1838325" cy="1524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b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provides that the Issuer may sell the Securities registered thereby (i) through underwriters or dealers, (ii) directly to one or more other purchasers, (iii) through agents or (iv) through a combination of any of these methods. The applicable Prospectus Supplement with respect to the Securities offered will set forth the terms of the offering of such Securities, including the name or names of any underwriters, dealers or agents, the purchase price of such Securities and the proceeds to the Issuer from such sale, any underwriting discounts and other items constituting underwriters’ compensation, any initial public offering price and any discounts, commissions or concessions allowed or reallowed or paid to dealers, and any bidding or auction process. If underwriters are used in an offering of Securities registered by the Registration Statement, the Registration Statement anticipates that the Issuer will sell such Securities pursuant to the terms of an underwriting agreement to be executed between the Issuer and underwriters that will be identified in the applicable Prospectus Supplement. We have assumed for purposes of this letter that the terms of the Underwriting Agreement will fall within the scope of the authorization adopted by the board of directors, sole director, board of managers, managing committee, manager, sole member or other applicable governing body, as applicable, of the Issuer and the applicable Guarantors (“</w:t>
      </w:r>
      <w:r>
        <w:rPr>
          <w:rFonts w:ascii="Times New Roman;Times;Serif" w:hAnsi="Times New Roman;Times;Serif"/>
          <w:b w:val="false"/>
          <w:i w:val="false"/>
          <w:caps w:val="false"/>
          <w:smallCaps w:val="false"/>
          <w:sz w:val="20"/>
          <w:u w:val="single"/>
        </w:rPr>
        <w:t>Board Authorization</w:t>
      </w:r>
      <w:r>
        <w:rPr>
          <w:rFonts w:ascii="Times New Roman;Times;Serif" w:hAnsi="Times New Roman;Times;Serif"/>
          <w:b w:val="false"/>
          <w:i w:val="false"/>
          <w:caps w:val="false"/>
          <w:smallCaps w:val="false"/>
          <w:sz w:val="20"/>
        </w:rPr>
        <w:t>”) and will receive the approvals required by that Board Authorization. The term “Underwriting Agreement” is used in this letter to mean an underwriting agreement in the form in which it will be actually executed by the Issuer and the underwriters with respect to a particular underwritten offering of Securities registered by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therewith, we have examined originals, or copies certified or otherwise identified to our satisfaction, of such documents, corporate records and other instruments as we have deemed necessary for the purpose of this opinion, including (i) the corporate and organizational documents of the Issuer and the Delaware Guarantors, (ii) minutes and records of the corporate proceedings of the Issuer and the Delaware Guarantors with respect to the Registration Statement and (iii) the Registration Statement. The term “Transaction Documents” is used in this letter to refer collectively to the Underwriting Agreement, the Indentures, the Securities and the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opinion, we have assumed the authenticity of all documents submitted to us as originals, the conformity to the originals of all documents submitted to us as copies and the authenticity of the originals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Issuer and the Delaware Guarantors), and the due authorization, execution and delivery of all documents by the parties thereto (other than the Issuer and the Delaware Guarantors). As to any facts material to the opinions expressed herein which we have not independently established or verified, we have relied upon statements and representations of officers and other representatives of the Issuer and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38325" cy="152400"/>
            <wp:effectExtent l="0" t="0" r="0" b="0"/>
            <wp:docPr id="8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5" descr=""/>
                    <pic:cNvPicPr>
                      <a:picLocks noChangeAspect="1" noChangeArrowheads="1"/>
                    </pic:cNvPicPr>
                  </pic:nvPicPr>
                  <pic:blipFill>
                    <a:blip r:embed="rId69"/>
                    <a:stretch>
                      <a:fillRect/>
                    </a:stretch>
                  </pic:blipFill>
                  <pic:spPr bwMode="auto">
                    <a:xfrm>
                      <a:off x="0" y="0"/>
                      <a:ext cx="1838325" cy="1524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b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assumed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(i)</w:t>
            </w:r>
          </w:p>
        </w:tc>
        <w:tc>
          <w:tcPr>
            <w:tcW w:w="9984" w:type="dxa"/>
            <w:tcBorders/>
            <w:vAlign w:val="center"/>
          </w:tcPr>
          <w:p>
            <w:pPr>
              <w:pStyle w:val="TableContents"/>
              <w:bidi w:val="0"/>
              <w:spacing w:before="0" w:after="283"/>
              <w:jc w:val="both"/>
              <w:rPr/>
            </w:pPr>
            <w:r>
              <w:rPr/>
              <w:t>the Registration Statement shall have become effective pursuant to the provisions of the Act and will remain effective and comply with all applicable laws at the time the Securities are offered or issued as contemplated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(ii)</w:t>
            </w:r>
          </w:p>
        </w:tc>
        <w:tc>
          <w:tcPr>
            <w:tcW w:w="9940" w:type="dxa"/>
            <w:tcBorders/>
            <w:vAlign w:val="center"/>
          </w:tcPr>
          <w:p>
            <w:pPr>
              <w:pStyle w:val="TableContents"/>
              <w:bidi w:val="0"/>
              <w:spacing w:before="0" w:after="283"/>
              <w:jc w:val="both"/>
              <w:rPr/>
            </w:pPr>
            <w:r>
              <w:rPr/>
              <w:t>a Prospectus Supplement or Prospectus Supplements with respect to the Securities shall have been filed (or transmitted for filing) with the Commission pursuant to Rule 424(b) of the Act and any exhibits necessary under the rules and regulations of the Commission shall have been filed with the Commission in an amendment to the Registration Statement or incorporated by reference into the Registration Statement pursuant to a Current Report on Form 8-K of the Issuer filed with the Commission and will comply with all applicable laws;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4"/>
        <w:gridCol w:w="9854"/>
      </w:tblGrid>
      <w:tr>
        <w:trPr/>
        <w:tc>
          <w:tcPr>
            <w:tcW w:w="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(iii)</w:t>
            </w:r>
          </w:p>
        </w:tc>
        <w:tc>
          <w:tcPr>
            <w:tcW w:w="9854" w:type="dxa"/>
            <w:tcBorders/>
            <w:vAlign w:val="center"/>
          </w:tcPr>
          <w:p>
            <w:pPr>
              <w:pStyle w:val="TableContents"/>
              <w:bidi w:val="0"/>
              <w:spacing w:before="0" w:after="283"/>
              <w:jc w:val="both"/>
              <w:rPr/>
            </w:pPr>
            <w:r>
              <w:rPr/>
              <w:t>the Securities will be issued and sold in the manner stated in the Registration Statement, and in the form and containing the terms set forth in the Registration Statement and the Indentures;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7"/>
        <w:gridCol w:w="9841"/>
      </w:tblGrid>
      <w:tr>
        <w:trPr/>
        <w:tc>
          <w:tcPr>
            <w:tcW w:w="3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pPr>
            <w:r>
              <w:rPr/>
              <w:t>(iv)</w:t>
            </w:r>
          </w:p>
        </w:tc>
        <w:tc>
          <w:tcPr>
            <w:tcW w:w="9841" w:type="dxa"/>
            <w:tcBorders/>
            <w:vAlign w:val="center"/>
          </w:tcPr>
          <w:p>
            <w:pPr>
              <w:pStyle w:val="TableContents"/>
              <w:bidi w:val="0"/>
              <w:spacing w:before="0" w:after="283"/>
              <w:jc w:val="both"/>
              <w:rPr/>
            </w:pPr>
            <w:r>
              <w:rPr/>
              <w:t>the Guarantees will have been duly authorized, executed and delivered by the Other Guarantors (to the extent they are party to the Indentures);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(v)</w:t>
            </w:r>
          </w:p>
        </w:tc>
        <w:tc>
          <w:tcPr>
            <w:tcW w:w="9917" w:type="dxa"/>
            <w:tcBorders/>
            <w:vAlign w:val="center"/>
          </w:tcPr>
          <w:p>
            <w:pPr>
              <w:pStyle w:val="TableContents"/>
              <w:bidi w:val="0"/>
              <w:spacing w:before="0" w:after="283"/>
              <w:jc w:val="both"/>
              <w:rPr/>
            </w:pPr>
            <w:r>
              <w:rPr/>
              <w:t>a definitive Underwriting Agreement will have been duly authorized and validly executed and delivered by the Issuer, the Guarantors (to the extent they are party thereto) and the other parties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0"/>
        <w:gridCol w:w="9858"/>
      </w:tblGrid>
      <w:tr>
        <w:trPr/>
        <w:tc>
          <w:tcPr>
            <w:tcW w:w="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(vi)</w:t>
            </w:r>
          </w:p>
        </w:tc>
        <w:tc>
          <w:tcPr>
            <w:tcW w:w="9858" w:type="dxa"/>
            <w:tcBorders/>
            <w:vAlign w:val="center"/>
          </w:tcPr>
          <w:p>
            <w:pPr>
              <w:pStyle w:val="TableContents"/>
              <w:bidi w:val="0"/>
              <w:spacing w:before="0" w:after="283"/>
              <w:jc w:val="both"/>
              <w:rPr/>
            </w:pPr>
            <w:r>
              <w:rPr/>
              <w:t>the terms of the Indentures will have been consistent with the description of the terms of such agreement set forth in the Registration Statement and in the Prospectus Supplement or Prospectus Supplements;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3"/>
        <w:gridCol w:w="9785"/>
      </w:tblGrid>
      <w:tr>
        <w:trPr/>
        <w:tc>
          <w:tcPr>
            <w:tcW w:w="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pPr>
            <w:r>
              <w:rPr/>
              <w:t>(vii)</w:t>
            </w:r>
          </w:p>
        </w:tc>
        <w:tc>
          <w:tcPr>
            <w:tcW w:w="9785" w:type="dxa"/>
            <w:tcBorders/>
            <w:vAlign w:val="center"/>
          </w:tcPr>
          <w:p>
            <w:pPr>
              <w:pStyle w:val="TableContents"/>
              <w:bidi w:val="0"/>
              <w:spacing w:before="0" w:after="283"/>
              <w:jc w:val="both"/>
              <w:rPr/>
            </w:pPr>
            <w:r>
              <w:rPr/>
              <w:t>appropriate corporate action shall have been taken to authorize the issuance and sale of, and such authorization will not have been modified or rescinded;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10"/>
        <w:gridCol w:w="9758"/>
      </w:tblGrid>
      <w:tr>
        <w:trPr/>
        <w:tc>
          <w:tcPr>
            <w:tcW w:w="3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(viii)</w:t>
            </w:r>
          </w:p>
        </w:tc>
        <w:tc>
          <w:tcPr>
            <w:tcW w:w="9758" w:type="dxa"/>
            <w:tcBorders/>
            <w:vAlign w:val="center"/>
          </w:tcPr>
          <w:p>
            <w:pPr>
              <w:pStyle w:val="TableContents"/>
              <w:bidi w:val="0"/>
              <w:spacing w:before="0" w:after="283"/>
              <w:jc w:val="both"/>
              <w:rPr/>
            </w:pPr>
            <w:r>
              <w:rPr/>
              <w:t>the issuance, sale and delivery of the Securities, the terms of the Securities and compliance by each of Issuer and the Guarantors (to the extent they are party to the Indenture) with the terms of the Securities will not violate any applicable law, any agreement or instrument then binding upon the Issuer or such Guarantors or any restriction imposed by any court or governmental body having jurisdiction over the Issuer or such Guarantors;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38325" cy="152400"/>
            <wp:effectExtent l="0" t="0" r="0" b="0"/>
            <wp:docPr id="8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6" descr=""/>
                    <pic:cNvPicPr>
                      <a:picLocks noChangeAspect="1" noChangeArrowheads="1"/>
                    </pic:cNvPicPr>
                  </pic:nvPicPr>
                  <pic:blipFill>
                    <a:blip r:embed="rId70"/>
                    <a:stretch>
                      <a:fillRect/>
                    </a:stretch>
                  </pic:blipFill>
                  <pic:spPr bwMode="auto">
                    <a:xfrm>
                      <a:off x="0" y="0"/>
                      <a:ext cx="1838325" cy="1524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br/>
        <w:t>Page 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2"/>
        <w:gridCol w:w="9846"/>
      </w:tblGrid>
      <w:tr>
        <w:trPr/>
        <w:tc>
          <w:tcPr>
            <w:tcW w:w="3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(ix)</w:t>
            </w:r>
          </w:p>
        </w:tc>
        <w:tc>
          <w:tcPr>
            <w:tcW w:w="9846" w:type="dxa"/>
            <w:tcBorders/>
            <w:vAlign w:val="center"/>
          </w:tcPr>
          <w:p>
            <w:pPr>
              <w:pStyle w:val="TableContents"/>
              <w:bidi w:val="0"/>
              <w:spacing w:before="0" w:after="283"/>
              <w:jc w:val="both"/>
              <w:rPr/>
            </w:pPr>
            <w:r>
              <w:rPr/>
              <w:t>any legally required consents, approvals, authorizations and other orders of the Commission and any other regulatory authorities shall have been obtained;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(x)</w:t>
            </w:r>
          </w:p>
        </w:tc>
        <w:tc>
          <w:tcPr>
            <w:tcW w:w="9894" w:type="dxa"/>
            <w:tcBorders/>
            <w:vAlign w:val="center"/>
          </w:tcPr>
          <w:p>
            <w:pPr>
              <w:pStyle w:val="TableContents"/>
              <w:bidi w:val="0"/>
              <w:spacing w:before="0" w:after="283"/>
              <w:jc w:val="both"/>
              <w:rPr/>
            </w:pPr>
            <w:r>
              <w:rPr/>
              <w:t>there will not have occurred any change in law affecting the validity, legally binding character or enforceability of the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assumptions, qualifications and limitations identified in this opinion, we are of the opinion that when (i) the Securities have been duly executed, delivered and paid for in accordance with the Underwriting Agreement, (ii) the Indenture has been duly authorized, executed and delivered by the Issuer, the Guarantors (to the extent they are party thereto) and the Trustee, (iii) the Indenture has been qualified under the Trust Indenture Act of 1939, as amended and (iv) the Securities have been fully authenticated by the Trustee, the Securities will constitute legal, valid and binding obligations of the Issuer and the Guarantors (to the extent they are party thereto), enforceable against the Issuer and the Guarantors (to the extent they are party thereto)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opinion in this letter that any particular contract constitutes a valid and binding agreement or is enforceable in accordance with its terms (each, an “enforceability opinion”) is subject to: (i) the effect of bankruptcy, insolvency, fraudulent conveyance and other similar laws and judicially developed doctrines in this area such as substantive consolidation and equitable subordination; (ii) the effect of general principles of equity; and (iii) other commonly recognized statutory and judicial constraints on enforceability including statutes of limitations. “General principles of equity” include but are not limited to: (A) principles limiting the availability of specific performance and injunctive relief; (B) principles which limit the availability of a remedy under certain circumstances where another remedy has been elected; (C) principles requiring reasonableness, good faith and fair dealing in the performance and enforcement of an agreement by the party seeking enforcement; (D) principles which may permit a party to cure a material failure to perform its obligations; and (E) principles affording equitable defenses such as waiver, laches and estoppel. It is possible that terms in a particular contract covered by our enforceability opinion may not prove enforceable for reasons other than those explicitly cited in this letter should an actual enforcement action be brought, but (subject to all the exceptions, qualifications, exclusions and other limitations contained in this letter) such unenforceability would not in our opinion prevent the party entitled to enforce that contract from realizing the principal benefits purported to be provided to that party by the terms in that contract which are covered by our enforceability opinion. In addition, none of the opinions or other advice contained in this letter covers or otherwise addresses any of the following types of provisions (or the enforceability thereof) which may be contained in the Transaction Documents: (i) provisions mandating contribution towards judgments or settlements among various parties; (ii) waivers of benefits and rights to the extent they cannot be waived under applicable law; (iii) provisions providing for liquidated damages, late charges and prepayment charges, in each case if deemed to constitute penalties; (iv) provisions which might require indemnification or contribution in violation of general principles of equity or public policy, including, without limitation, indemnification or contribution obligations which arise out of the failure to comply with applicable state or federal securities laws, rules or regulations; or (v) requirements in the Transaction Documents specifying that provisions thereof may only be waived in writing (these provisions may not be valid, binding or enforceable to the extent that an oral agreement or an implied agreement by trade practice or course of conduct has been created modifying any provision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38325" cy="152400"/>
            <wp:effectExtent l="0" t="0" r="0" b="0"/>
            <wp:docPr id="8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7" descr=""/>
                    <pic:cNvPicPr>
                      <a:picLocks noChangeAspect="1" noChangeArrowheads="1"/>
                    </pic:cNvPicPr>
                  </pic:nvPicPr>
                  <pic:blipFill>
                    <a:blip r:embed="rId71"/>
                    <a:stretch>
                      <a:fillRect/>
                    </a:stretch>
                  </pic:blipFill>
                  <pic:spPr bwMode="auto">
                    <a:xfrm>
                      <a:off x="0" y="0"/>
                      <a:ext cx="1838325" cy="1524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27, 2026</w:t>
        <w:br/>
        <w:t>Page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advice on every legal issue addressed in this opinion is based exclusively on the internal law of the State of New York, the General Corporation Law of the State of Delaware and the Delaware Limited Liability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find it necessary for the purposes of this opinion, and accordingly we do not purport to cover herein, the application of the securities or “Blue Sky” laws of the various states to the issuance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specific issues addressed herein, and no opinion may be inferred or implied beyond that expressly stated herein. This opinion speaks only as of the date that the Registration Statement becomes effective under the Act, and we assume no obligation to revise or supplement this opinion should the present laws of the State of New York, the General Corporation Law of the State of Delaware or the Delaware Limited Liability Company Act be changed by legislative action, judicial decision or otherwise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furnished to you in connection with the filing of the Registration Statement and is not to be used, circulated, quoted or otherwise relied upon for any other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5.3 to the Registration Statement. We also consent to the reference to our firm under the heading “Legal Matters” in the Registration Statement. In giving this consent, we do not thereby admit that we are in the category of persons whose consent is required under Section 7 of the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Kirkland &amp; Ellis LLP</w:t>
            </w:r>
          </w:p>
        </w:tc>
      </w:tr>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KIRKLAND &amp; ELLIS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Delaware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Digital Services,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 House Networks Information Services (Alabama),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 House Networks Information Services (California),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 House Networks Information Services (Florida),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 House Networks Information Services (Indiana),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 House Networks Information Services (Michigan),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Fiberlink,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VI Fiberlink,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VII Fiberlink,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Fiberlink,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Holdings Capital Corp., a Delaware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NR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Advanced Services (MO),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ASC,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Capital Corp., a Delaware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SSC,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Distribution,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Alabama,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Georgia,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Illinois,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Maryland II,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Michigan,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Missouri,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Nebraska,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 Tennessee,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CA-CCO,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CC VIII,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CT-CCO,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LA-CCO,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MA-CCO,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MS-CCVI,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NC-CCO,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NH-CCO,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NV-CCVII,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NY-CCO,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OR-CCVII,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SC-CCO,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TX-CCO,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VA-CCO,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VT-CCO,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Fiberlink WA-CCVII,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IP Enabled Services,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Leasing Holding Company,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Procurement Leasing,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DukeNet Communications,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Innovar Media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Marcus Cable Associates,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Advanced Services,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Fiberlink Florida,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Gulf Coast,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Mid-America,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Equipment,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New York Metro,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NLP,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Northeast,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Oceanic,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Development,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Pacific West,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Reach,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RSN,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Southeast,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SportsNet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Sunshine State,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TV Essentials,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Wireless Holdings,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Business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Enterprises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(Alabama),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(Arizona),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(California),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(Colorado),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(Hawaii),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(Idaho),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(Illinois),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(Indiana),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(Kansas),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(Kentucky),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(Maine),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(Massachusetts),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(Michigan),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(Missouri),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(Nebraska),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(New Hampshire),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(New Jersey),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(New Mexico)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(New York),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(North Carolina),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(Ohio),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(Pennsylvania),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(South Carolina),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(Tennessee),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(Texas),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(Virginia),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(Washington),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(West Virginia),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Information Services (Wisconsin),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Administration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Communications,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IP Enabled Services,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SEE Holdco LLC, a Delaware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TWCIS Holdco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Guarantors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of Colorado, LLC, a Colorado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of Montana, LLC, a Montana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of Utah, LLC, a Utah limited liability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of Wyoming, LLC, a Wyoming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tm2621265d2_ex22-1.htm"/>
      <w:bookmarkStart w:id="22" w:name="kstm2621265d2_ex221"/>
      <w:bookmarkEnd w:id="21"/>
      <w:bookmarkEnd w:id="22"/>
      <w:r>
        <w:rPr>
          <w:rFonts w:ascii="Times New Roman;Times;Serif" w:hAnsi="Times New Roman;Times;Serif"/>
          <w:b/>
          <w:i w:val="false"/>
          <w:caps w:val="false"/>
          <w:smallCaps w:val="false"/>
          <w:sz w:val="20"/>
        </w:rPr>
        <w:t>Exhibit 22.1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Issuers and Guarantors of Guaranteed Securities and Affiliate Securities Pledged as Collateral</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Holdings, LLC (“CCO Holdings”) and each of the Obligor Subsidiaries (as defined below), have fully and unconditionally guaranteed on a joint, several, full and unconditional basis each of the debt securities listed below, unless such subsidiary is an issuer of the listed debt security. Such guarantees are secured by substantially all of the assets of the Obligor Subsidiaries, including a pledge of the equity interests of substantially all of the subsidiaries owned by CCO and the other Obligor Subsidiaries (the “Pledged Equity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 Issued by Charter Communications Operating, LLC (“CCO”) and Charter Communications Operating Capital Corp. (“CCO Capital”), guaranteed by CCO Holdings and each of the Obligor Subsidiaries (other than CCO and CCO Capital) and secured by the Pledged Equity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3.750% senior notes due February 15, 2028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4.200% senior notes due March 15, 2028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2.250% senior notes due January 15, 2029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5.050% senior notes due March 30, 2029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6.100% senior notes due June 1, 2029</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2.800% senior notes due April 1, 2031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2.300% senior notes due February 1, 2032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4.400% senior notes due April 1, 2033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6.650% senior notes due February 1, 2034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6.550% senior notes due June 1, 2034</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6.384% senior notes due October 23, 2035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5.850% senior notes due December 1, 2035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5.375% senior notes due April 1, 2038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3.500% senior notes due June 1, 2041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3.500% senior notes due March 1, 2042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6.484% senior notes due October 23, 2045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5.375% senior notes due May 1, 2047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5.750% senior notes due April 1, 2048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5.125% senior notes due July 1, 2049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4.800% senior notes due March 1, 2050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3.700% senior notes due April 1, 2051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3.900% senior notes due June 1, 2052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5.250% senior notes due April 1, 2053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6.834% senior notes due October 23, 2055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6.700% senior notes due December 1, 2055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3.850% senior notes due April 1, 2061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4.400% senior notes due December 1, 2061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3.950% senior notes due June 30, 2062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5.500% senior notes due April 1, 2063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 Issued by Time Warner Cable, LLC (“TWC”), guaranteed by CCO Holdings and each of the Obligor Subsidiaries (other than TWC) and secured by the Pledged Equity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 sterling senior notes due June 2, 2031</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6.550% senior debentures due May 1, 2037</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7.300% senior debentures due July 1, 2038</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6.750% senior debentures due June 15, 2039</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5.875% senior debentures due November 15, 2040</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5.500% senior debentures due September 1, 2041</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5.250% sterling senior notes due July 15, 2042</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 senior debentures due September 15, 2042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 Issued by Time Warner Cable Enterprises LLC (“TWCE”), guaranteed by CCO Holdings and each of the Obligor Subsidiaries (other than TWCE) and secured by the Pledged Equity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8.375% senior debentures due July 15, 2033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Obligor Subsidiaries”: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Bresnan Broadband Holdings,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NR Holdings,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ASC,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Capital Corp.</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SSC,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 HoldCo,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VI,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Distribution,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Leasing Holding Company,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Procurement Leasing,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DukeNet Communications,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Advanced Services,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Gulf Coast,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Mid-America,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Equipment,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Mobile,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New York Metro,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NLP,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Northeast,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Oceanic,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Development,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Originals,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Pacific West,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Reach,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RSN,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Southeast,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Sunshine State,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TV Essentials,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Spectrum Wireless Holdings,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Enterprises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Warner Cable,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Administration LLC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Communications, LLC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TWC SEE Holdco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b/>
        </w:rPr>
      </w:pPr>
      <w:bookmarkStart w:id="23" w:name="tm2621265d2_ex23-2.htm"/>
      <w:bookmarkStart w:id="24" w:name="kstm2621265d2_ex232"/>
      <w:bookmarkEnd w:id="23"/>
      <w:bookmarkEnd w:id="24"/>
      <w:r>
        <w:rPr>
          <w:b/>
        </w:rPr>
        <w:t>Exhibit 23.2</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1076325" cy="457200"/>
            <wp:effectExtent l="0" t="0" r="0" b="0"/>
            <wp:docPr id="8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18" descr=""/>
                    <pic:cNvPicPr>
                      <a:picLocks noChangeAspect="1" noChangeArrowheads="1"/>
                    </pic:cNvPicPr>
                  </pic:nvPicPr>
                  <pic:blipFill>
                    <a:blip r:embed="rId72"/>
                    <a:stretch>
                      <a:fillRect/>
                    </a:stretch>
                  </pic:blipFill>
                  <pic:spPr bwMode="auto">
                    <a:xfrm>
                      <a:off x="0" y="0"/>
                      <a:ext cx="1076325" cy="457200"/>
                    </a:xfrm>
                    <a:prstGeom prst="rect">
                      <a:avLst/>
                    </a:prstGeom>
                  </pic:spPr>
                </pic:pic>
              </a:graphicData>
            </a:graphic>
          </wp:inline>
        </w:drawing>
      </w:r>
      <w:r>
        <w:rPr/>
        <w:t> </w:t>
      </w:r>
    </w:p>
    <w:p>
      <w:pPr>
        <w:pStyle w:val="TextBody"/>
        <w:bidi w:val="0"/>
        <w:spacing w:before="0" w:after="0"/>
        <w:ind w:left="0" w:right="0" w:hanging="0"/>
        <w:jc w:val="left"/>
        <w:rPr/>
      </w:pPr>
      <w:r>
        <w:rPr/>
        <w:t> </w:t>
      </w:r>
    </w:p>
    <w:p>
      <w:pPr>
        <w:pStyle w:val="TextBody"/>
        <w:bidi w:val="0"/>
        <w:spacing w:before="0" w:after="317"/>
        <w:ind w:left="2520" w:right="0" w:hanging="0"/>
        <w:jc w:val="left"/>
        <w:rPr/>
      </w:pPr>
      <w:r>
        <w:rPr/>
        <w:t xml:space="preserve">KPMG LLP </w:t>
        <w:br/>
        <w:t xml:space="preserve">Suite 900 </w:t>
        <w:br/>
        <w:t>10 South Broadway</w:t>
        <w:br/>
        <w:t>St. Louis, MO 63102-1761</w:t>
      </w:r>
    </w:p>
    <w:p>
      <w:pPr>
        <w:pStyle w:val="TextBody"/>
        <w:bidi w:val="0"/>
        <w:spacing w:before="0" w:after="0"/>
        <w:ind w:left="0" w:right="0" w:hanging="0"/>
        <w:jc w:val="left"/>
        <w:rPr/>
      </w:pPr>
      <w:r>
        <w:rPr/>
        <w:t> </w:t>
      </w:r>
    </w:p>
    <w:p>
      <w:pPr>
        <w:pStyle w:val="TextBody"/>
        <w:bidi w:val="0"/>
        <w:spacing w:before="0" w:after="0"/>
        <w:jc w:val="center"/>
        <w:rPr>
          <w:b/>
        </w:rPr>
      </w:pPr>
      <w:r>
        <w:rPr>
          <w:b/>
        </w:rPr>
        <w:t>Consent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We consent to the use of our reports dated January 29, 2026, with respect to the consolidated financial statements of Charter Communications, Inc. and subsidiaries, and the effectiveness of internal control over financial reporting, incorporated herein by reference, and to the reference to our firm under the heading "Experts" in the prospectus.</w:t>
      </w:r>
    </w:p>
    <w:p>
      <w:pPr>
        <w:pStyle w:val="TextBody"/>
        <w:bidi w:val="0"/>
        <w:spacing w:before="0" w:after="0"/>
        <w:ind w:left="0" w:right="0" w:hanging="0"/>
        <w:jc w:val="left"/>
        <w:rPr/>
      </w:pPr>
      <w:r>
        <w:rPr/>
        <w:t> </w:t>
      </w:r>
    </w:p>
    <w:p>
      <w:pPr>
        <w:pStyle w:val="TextBody"/>
        <w:bidi w:val="0"/>
        <w:spacing w:before="0" w:after="0"/>
        <w:jc w:val="center"/>
        <w:rPr/>
      </w:pPr>
      <w:r>
        <w:rPr/>
        <w:t>/s/ KPMG LLP</w:t>
      </w:r>
    </w:p>
    <w:p>
      <w:pPr>
        <w:pStyle w:val="TextBody"/>
        <w:bidi w:val="0"/>
        <w:spacing w:before="0" w:after="0"/>
        <w:ind w:left="0" w:right="0" w:hanging="0"/>
        <w:jc w:val="left"/>
        <w:rPr/>
      </w:pPr>
      <w:r>
        <w:rPr/>
        <w:t> </w:t>
      </w:r>
    </w:p>
    <w:p>
      <w:pPr>
        <w:pStyle w:val="TextBody"/>
        <w:bidi w:val="0"/>
        <w:spacing w:before="0" w:after="0"/>
        <w:ind w:left="0" w:right="0" w:hanging="0"/>
        <w:jc w:val="left"/>
        <w:rPr/>
      </w:pPr>
      <w:r>
        <w:rPr/>
        <w:t>St. Louis, Missouri</w:t>
        <w:br/>
        <w:t>July 23, 2026</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0092"/>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0092" w:type="dxa"/>
            <w:tcBorders/>
            <w:vAlign w:val="center"/>
          </w:tcPr>
          <w:p>
            <w:pPr>
              <w:pStyle w:val="TableContents"/>
              <w:bidi w:val="0"/>
              <w:spacing w:before="0" w:after="283"/>
              <w:jc w:val="both"/>
              <w:rPr/>
            </w:pPr>
            <w:r>
              <w:rPr/>
              <w:t>KPMG LLP, a Delaware limited liability partnership, and its subsidiaries are part of the KPMG global organization of independent member firms affiliated with KPMG International Limited, a private English company limited by guarantee.</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drawing>
          <wp:inline distT="0" distB="0" distL="0" distR="0">
            <wp:extent cx="1076325" cy="457200"/>
            <wp:effectExtent l="0" t="0" r="0" b="0"/>
            <wp:docPr id="8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9" descr=""/>
                    <pic:cNvPicPr>
                      <a:picLocks noChangeAspect="1" noChangeArrowheads="1"/>
                    </pic:cNvPicPr>
                  </pic:nvPicPr>
                  <pic:blipFill>
                    <a:blip r:embed="rId73"/>
                    <a:stretch>
                      <a:fillRect/>
                    </a:stretch>
                  </pic:blipFill>
                  <pic:spPr bwMode="auto">
                    <a:xfrm>
                      <a:off x="0" y="0"/>
                      <a:ext cx="1076325" cy="457200"/>
                    </a:xfrm>
                    <a:prstGeom prst="rect">
                      <a:avLst/>
                    </a:prstGeom>
                  </pic:spPr>
                </pic:pic>
              </a:graphicData>
            </a:graphic>
          </wp:inline>
        </w:drawing>
      </w:r>
      <w:r>
        <w:rPr/>
        <w:t> </w:t>
      </w:r>
    </w:p>
    <w:p>
      <w:pPr>
        <w:pStyle w:val="TextBody"/>
        <w:bidi w:val="0"/>
        <w:spacing w:before="0" w:after="0"/>
        <w:ind w:left="0" w:right="0" w:hanging="0"/>
        <w:jc w:val="left"/>
        <w:rPr/>
      </w:pPr>
      <w:r>
        <w:rPr/>
        <w:t> </w:t>
      </w:r>
    </w:p>
    <w:p>
      <w:pPr>
        <w:pStyle w:val="TextBody"/>
        <w:bidi w:val="0"/>
        <w:spacing w:before="0" w:after="317"/>
        <w:ind w:left="2520" w:right="0" w:hanging="0"/>
        <w:jc w:val="left"/>
        <w:rPr/>
      </w:pPr>
      <w:r>
        <w:rPr/>
        <w:t xml:space="preserve">KPMG LLP </w:t>
        <w:br/>
        <w:t xml:space="preserve">Suite 900 </w:t>
        <w:br/>
        <w:t xml:space="preserve">10 South Broadway </w:t>
        <w:br/>
        <w:t>St. Louis, MO 63102-1761</w:t>
      </w:r>
    </w:p>
    <w:p>
      <w:pPr>
        <w:pStyle w:val="TextBody"/>
        <w:bidi w:val="0"/>
        <w:spacing w:before="0" w:after="0"/>
        <w:ind w:left="0" w:right="0" w:hanging="0"/>
        <w:jc w:val="left"/>
        <w:rPr/>
      </w:pPr>
      <w:r>
        <w:rPr/>
        <w:t> </w:t>
      </w:r>
    </w:p>
    <w:p>
      <w:pPr>
        <w:pStyle w:val="TextBody"/>
        <w:bidi w:val="0"/>
        <w:spacing w:before="0" w:after="0"/>
        <w:jc w:val="center"/>
        <w:rPr>
          <w:b/>
        </w:rPr>
      </w:pPr>
      <w:r>
        <w:rPr>
          <w:b/>
        </w:rPr>
        <w:t>Consent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We consent to the use of our report dated January 29, 2026, with respect to the consolidated financial statements of CCO Holdings, LLC and subsidiaries, incorporated herein by reference, and to the reference to our firm under the heading "Experts" in the prospectus.</w:t>
      </w:r>
    </w:p>
    <w:p>
      <w:pPr>
        <w:pStyle w:val="TextBody"/>
        <w:bidi w:val="0"/>
        <w:spacing w:before="0" w:after="0"/>
        <w:ind w:left="0" w:right="0" w:hanging="0"/>
        <w:jc w:val="left"/>
        <w:rPr/>
      </w:pPr>
      <w:r>
        <w:rPr/>
        <w:t> </w:t>
      </w:r>
    </w:p>
    <w:p>
      <w:pPr>
        <w:pStyle w:val="TextBody"/>
        <w:bidi w:val="0"/>
        <w:spacing w:before="0" w:after="0"/>
        <w:jc w:val="center"/>
        <w:rPr/>
      </w:pPr>
      <w:r>
        <w:rPr/>
        <w:t>/s/ KPMG LLP</w:t>
      </w:r>
    </w:p>
    <w:p>
      <w:pPr>
        <w:pStyle w:val="TextBody"/>
        <w:bidi w:val="0"/>
        <w:spacing w:before="0" w:after="0"/>
        <w:ind w:left="0" w:right="0" w:hanging="0"/>
        <w:jc w:val="left"/>
        <w:rPr/>
      </w:pPr>
      <w:r>
        <w:rPr/>
        <w:t> </w:t>
      </w:r>
    </w:p>
    <w:p>
      <w:pPr>
        <w:pStyle w:val="TextBody"/>
        <w:bidi w:val="0"/>
        <w:spacing w:before="0" w:after="0"/>
        <w:ind w:left="0" w:right="0" w:hanging="0"/>
        <w:jc w:val="left"/>
        <w:rPr/>
      </w:pPr>
      <w:r>
        <w:rPr/>
        <w:t>St. Louis, Missouri</w:t>
        <w:br/>
        <w:t>July 23, 2026</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0092"/>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0092" w:type="dxa"/>
            <w:tcBorders/>
            <w:vAlign w:val="center"/>
          </w:tcPr>
          <w:p>
            <w:pPr>
              <w:pStyle w:val="TableContents"/>
              <w:bidi w:val="0"/>
              <w:spacing w:before="0" w:after="283"/>
              <w:jc w:val="both"/>
              <w:rPr/>
            </w:pPr>
            <w:r>
              <w:rPr/>
              <w:t>KPMG LLP, a Delaware limited liability partnership, and its subsidiaries are part of the KPMG global organization of independent member firms affiliated with KPMG International Limited, a private English company limited by guarantee.</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pPr>
      <w:bookmarkStart w:id="25" w:name="tm2621265d2_ex25-1.htm"/>
      <w:bookmarkStart w:id="26" w:name="kstm2621265d2_ex251"/>
      <w:bookmarkEnd w:id="25"/>
      <w:bookmarkEnd w:id="2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jc w:val="center"/>
        <w:rPr/>
      </w:pPr>
      <w:r>
        <w:rPr/>
        <w:t>UNITED STATES</w:t>
        <w:br/>
        <w:t>SECURITIES AND EXCHANGE COMMISSION</w:t>
        <w:br/>
        <w:t>Washington, D.C. 20549</w:t>
        <w:br/>
        <w:br/>
        <w:t>FORM T-1</w:t>
      </w:r>
    </w:p>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OF ELIGIBILITY</w:t>
        <w:br/>
        <w:t>UNDER THE TRUST INDENTURE ACT OF 1939 OF A</w:t>
        <w:br/>
        <w:t>CORPORATION DESIGNATED TO ACT 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AN APPLICATION TO DETERMINE</w:t>
        <w:br/>
        <w:t>ELIGIBILITY OF A TRUSTEE PURSUANT TO</w:t>
        <w:br/>
        <w:t>SECTION 305(b)(2)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w:t>
        <w:br/>
        <w:t>TRUST COMPANY, N.A.</w:t>
        <w:br/>
        <w:t>(Exact name of trustee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720" w:type="dxa"/>
        <w:jc w:val="left"/>
        <w:tblInd w:w="-10" w:type="dxa"/>
        <w:tblLayout w:type="fixed"/>
        <w:tblCellMar>
          <w:top w:w="28" w:type="dxa"/>
          <w:left w:w="108" w:type="dxa"/>
          <w:bottom w:w="240" w:type="dxa"/>
          <w:right w:w="108" w:type="dxa"/>
        </w:tblCellMar>
      </w:tblPr>
      <w:tblGrid>
        <w:gridCol w:w="3215"/>
        <w:gridCol w:w="1505"/>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br/>
              <w:t>(Jurisdiction of incorporation</w:t>
              <w:br/>
              <w:t>if not a U.S. national bank)</w:t>
            </w:r>
          </w:p>
        </w:tc>
        <w:tc>
          <w:tcPr>
            <w:tcW w:w="15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95-3571558</w:t>
              <w:br/>
              <w:t>(I.R.S. employer</w:t>
              <w:br/>
              <w:t>identification no.)</w:t>
            </w:r>
          </w:p>
        </w:tc>
      </w:tr>
      <w:tr>
        <w:trPr/>
        <w:tc>
          <w:tcPr>
            <w:tcW w:w="321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South Hope Street</w:t>
              <w:br/>
              <w:t>Suite 2525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br/>
              <w:br/>
              <w:t>90071</w:t>
              <w:b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LLC</w:t>
        <w:br/>
        <w:t>(Exact name of obligor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720" w:type="dxa"/>
        <w:jc w:val="left"/>
        <w:tblInd w:w="-10" w:type="dxa"/>
        <w:tblLayout w:type="fixed"/>
        <w:tblCellMar>
          <w:top w:w="28" w:type="dxa"/>
          <w:left w:w="108" w:type="dxa"/>
          <w:bottom w:w="200" w:type="dxa"/>
          <w:right w:w="108" w:type="dxa"/>
        </w:tblCellMar>
      </w:tblPr>
      <w:tblGrid>
        <w:gridCol w:w="3215"/>
        <w:gridCol w:w="1505"/>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w:t>
              <w:br/>
              <w:t>(State or other jurisdiction of</w:t>
              <w:br/>
              <w:t>incorporation or organization)</w:t>
            </w:r>
          </w:p>
        </w:tc>
        <w:tc>
          <w:tcPr>
            <w:tcW w:w="15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43-1843260</w:t>
              <w:br/>
              <w:t>(I.R.S. employer</w:t>
              <w:br/>
              <w:t>identification no.)</w:t>
            </w:r>
          </w:p>
        </w:tc>
      </w:tr>
      <w:tr>
        <w:trP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rFonts w:ascii="Times New Roman;Times;Serif" w:hAnsi="Times New Roman;Times;Serif"/>
                <w:sz w:val="20"/>
              </w:rPr>
              <w:t>400 Washington Blvd.</w:t>
              <w:br/>
            </w:r>
            <w:r>
              <w:rPr>
                <w:sz w:val="20"/>
              </w:rPr>
              <w:t>Stamford, Connecticut</w:t>
              <w:br/>
              <w:t>(Address of principal executive offices)</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br/>
            </w:r>
            <w:r>
              <w:rPr>
                <w:rFonts w:ascii="Times New Roman;Times;Serif" w:hAnsi="Times New Roman;Times;Serif"/>
                <w:sz w:val="20"/>
              </w:rPr>
              <w:t>06902</w:t>
              <w:b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Operating Capital Corp.</w:t>
        <w:br/>
        <w:t>(Exact name of obligor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720" w:type="dxa"/>
        <w:jc w:val="left"/>
        <w:tblInd w:w="-10" w:type="dxa"/>
        <w:tblLayout w:type="fixed"/>
        <w:tblCellMar>
          <w:top w:w="28" w:type="dxa"/>
          <w:left w:w="108" w:type="dxa"/>
          <w:bottom w:w="240" w:type="dxa"/>
          <w:right w:w="108" w:type="dxa"/>
        </w:tblCellMar>
      </w:tblPr>
      <w:tblGrid>
        <w:gridCol w:w="3215"/>
        <w:gridCol w:w="1505"/>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w:t>
              <w:br/>
              <w:t>(State or other jurisdiction of</w:t>
              <w:br/>
              <w:t>incorporation or organization)</w:t>
            </w:r>
          </w:p>
        </w:tc>
        <w:tc>
          <w:tcPr>
            <w:tcW w:w="15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20-1044453</w:t>
              <w:br/>
              <w:t>(I.R.S. employer</w:t>
              <w:br/>
              <w:t>identification no.)</w:t>
            </w:r>
          </w:p>
        </w:tc>
      </w:tr>
      <w:tr>
        <w:trP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rFonts w:ascii="Times New Roman;Times;Serif" w:hAnsi="Times New Roman;Times;Serif"/>
                <w:sz w:val="20"/>
              </w:rPr>
              <w:t>400 Washington Blvd.</w:t>
              <w:br/>
            </w:r>
            <w:r>
              <w:rPr>
                <w:sz w:val="20"/>
              </w:rPr>
              <w:t>Stamford, Connecticut</w:t>
              <w:br/>
              <w:t>(Address of principal executive offices)</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r>
              <w:rPr>
                <w:rFonts w:ascii="Times New Roman;Times;Serif" w:hAnsi="Times New Roman;Times;Serif"/>
                <w:sz w:val="20"/>
              </w:rPr>
              <w:br/>
              <w:t>06902</w:t>
              <w:b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Inc.</w:t>
        <w:b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720" w:type="dxa"/>
        <w:jc w:val="left"/>
        <w:tblInd w:w="-10" w:type="dxa"/>
        <w:tblLayout w:type="fixed"/>
        <w:tblCellMar>
          <w:top w:w="28" w:type="dxa"/>
          <w:left w:w="108" w:type="dxa"/>
          <w:bottom w:w="240" w:type="dxa"/>
          <w:right w:w="108" w:type="dxa"/>
        </w:tblCellMar>
      </w:tblPr>
      <w:tblGrid>
        <w:gridCol w:w="3215"/>
        <w:gridCol w:w="1505"/>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w:t>
              <w:br/>
              <w:t>(State or other jurisdiction of</w:t>
              <w:br/>
              <w:t>incorporation or organization)</w:t>
            </w:r>
          </w:p>
        </w:tc>
        <w:tc>
          <w:tcPr>
            <w:tcW w:w="15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84-1496755</w:t>
              <w:br/>
              <w:t>(I.R.S. employer</w:t>
              <w:br/>
              <w:t>identification no.)</w:t>
            </w:r>
          </w:p>
        </w:tc>
      </w:tr>
      <w:tr>
        <w:trP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rFonts w:ascii="Times New Roman;Times;Serif" w:hAnsi="Times New Roman;Times;Serif"/>
                <w:sz w:val="20"/>
              </w:rPr>
              <w:t>400 Washington Blvd.</w:t>
              <w:br/>
            </w:r>
            <w:r>
              <w:rPr>
                <w:sz w:val="20"/>
              </w:rPr>
              <w:t>Stamford, Connecticut</w:t>
              <w:br/>
              <w:t>(Address of principal executive offices)</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br/>
            </w:r>
            <w:r>
              <w:rPr>
                <w:rFonts w:ascii="Times New Roman;Times;Serif" w:hAnsi="Times New Roman;Times;Serif"/>
                <w:sz w:val="20"/>
              </w:rPr>
              <w:t>06902</w:t>
              <w:b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Additional Registrants</w:t>
      </w:r>
    </w:p>
    <w:p>
      <w:pPr>
        <w:pStyle w:val="TextBody"/>
        <w:bidi w:val="0"/>
        <w:spacing w:before="0" w:after="0"/>
        <w:ind w:left="0" w:right="0" w:hanging="0"/>
        <w:jc w:val="center"/>
        <w:rPr>
          <w:caps w:val="false"/>
          <w:smallCaps w:val="false"/>
        </w:rPr>
      </w:pPr>
      <w:r>
        <w:rPr>
          <w:caps w:val="false"/>
          <w:smallCaps w:val="false"/>
        </w:rPr>
        <w:t> </w:t>
      </w:r>
    </w:p>
    <w:tbl>
      <w:tblPr>
        <w:tblW w:w="7665" w:type="dxa"/>
        <w:jc w:val="left"/>
        <w:tblInd w:w="-10" w:type="dxa"/>
        <w:tblLayout w:type="fixed"/>
        <w:tblCellMar>
          <w:top w:w="28" w:type="dxa"/>
          <w:left w:w="108" w:type="dxa"/>
          <w:bottom w:w="240" w:type="dxa"/>
          <w:right w:w="108" w:type="dxa"/>
        </w:tblCellMar>
      </w:tblPr>
      <w:tblGrid>
        <w:gridCol w:w="5105"/>
        <w:gridCol w:w="1340"/>
        <w:gridCol w:w="1220"/>
      </w:tblGrid>
      <w:tr>
        <w:trPr/>
        <w:tc>
          <w:tcPr>
            <w:tcW w:w="51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Exact Name of Additional Registrant </w:t>
              <w:br/>
              <w:t>Guarantor as specified in its charter</w:t>
            </w:r>
          </w:p>
        </w:tc>
        <w:tc>
          <w:tcPr>
            <w:tcW w:w="134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Jurisdiction of</w:t>
              <w:br/>
              <w:t>Incorporation or</w:t>
              <w:br/>
              <w:t>Organization</w:t>
            </w:r>
          </w:p>
        </w:tc>
        <w:tc>
          <w:tcPr>
            <w:tcW w:w="122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 xml:space="preserve">Identification </w:t>
              <w:br/>
              <w:t>Number</w:t>
            </w:r>
          </w:p>
        </w:tc>
      </w:tr>
      <w:tr>
        <w:trPr/>
        <w:tc>
          <w:tcPr>
            <w:tcW w:w="5105" w:type="dxa"/>
            <w:tcBorders>
              <w:left w:val="single" w:sz="8" w:space="0" w:color="000000"/>
              <w:bottom w:val="single" w:sz="8" w:space="0" w:color="000000"/>
              <w:right w:val="single" w:sz="8" w:space="0" w:color="000000"/>
            </w:tcBorders>
            <w:tcMar>
              <w:top w:w="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BHN IP Enabled Services, LLC</w:t>
            </w:r>
          </w:p>
        </w:tc>
        <w:tc>
          <w:tcPr>
            <w:tcW w:w="13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2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99-1515245</w:t>
            </w:r>
          </w:p>
        </w:tc>
      </w:tr>
      <w:tr>
        <w:trPr/>
        <w:tc>
          <w:tcPr>
            <w:tcW w:w="5105" w:type="dxa"/>
            <w:tcBorders>
              <w:left w:val="single" w:sz="8" w:space="0" w:color="000000"/>
              <w:bottom w:val="single" w:sz="8" w:space="0" w:color="000000"/>
              <w:right w:val="single" w:sz="8" w:space="0" w:color="000000"/>
            </w:tcBorders>
            <w:tcMar>
              <w:top w:w="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Bresnan Broadband Holdings, LLC</w:t>
            </w:r>
          </w:p>
        </w:tc>
        <w:tc>
          <w:tcPr>
            <w:tcW w:w="13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2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13-4119839</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Bresnan Broadband of Colorado, LLC</w:t>
            </w:r>
          </w:p>
        </w:tc>
        <w:tc>
          <w:tcPr>
            <w:tcW w:w="13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Colorado</w:t>
            </w:r>
          </w:p>
        </w:tc>
        <w:tc>
          <w:tcPr>
            <w:tcW w:w="12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35-2403834</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Bresnan Broadband of Montana, LLC</w:t>
            </w:r>
          </w:p>
        </w:tc>
        <w:tc>
          <w:tcPr>
            <w:tcW w:w="13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Montana</w:t>
            </w:r>
          </w:p>
        </w:tc>
        <w:tc>
          <w:tcPr>
            <w:tcW w:w="12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32-0334681</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Bresnan Broadband of Wyoming, LLC</w:t>
            </w:r>
          </w:p>
        </w:tc>
        <w:tc>
          <w:tcPr>
            <w:tcW w:w="13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Wyoming</w:t>
            </w:r>
          </w:p>
        </w:tc>
        <w:tc>
          <w:tcPr>
            <w:tcW w:w="12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61-1642737</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Bresnan Digital Services, LLC</w:t>
            </w:r>
          </w:p>
        </w:tc>
        <w:tc>
          <w:tcPr>
            <w:tcW w:w="13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2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38-3833973</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Bright House Networks Information Services (Alabama), LLC</w:t>
            </w:r>
          </w:p>
        </w:tc>
        <w:tc>
          <w:tcPr>
            <w:tcW w:w="13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2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20-1544201</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Bright House Networks Information Services (California), LLC</w:t>
            </w:r>
          </w:p>
        </w:tc>
        <w:tc>
          <w:tcPr>
            <w:tcW w:w="13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2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20-1544390</w:t>
            </w:r>
          </w:p>
        </w:tc>
      </w:tr>
      <w:tr>
        <w:trPr/>
        <w:tc>
          <w:tcPr>
            <w:tcW w:w="5105" w:type="dxa"/>
            <w:tcBorders>
              <w:left w:val="single" w:sz="8" w:space="0" w:color="000000"/>
              <w:bottom w:val="single" w:sz="8" w:space="0" w:color="000000"/>
              <w:right w:val="single" w:sz="8" w:space="0" w:color="000000"/>
            </w:tcBorders>
            <w:tcMar>
              <w:top w:w="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Bright House Networks Information Services (Florida), LLC</w:t>
            </w:r>
          </w:p>
        </w:tc>
        <w:tc>
          <w:tcPr>
            <w:tcW w:w="13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2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59-3758339</w:t>
            </w:r>
          </w:p>
        </w:tc>
      </w:tr>
      <w:tr>
        <w:trPr/>
        <w:tc>
          <w:tcPr>
            <w:tcW w:w="5105" w:type="dxa"/>
            <w:tcBorders>
              <w:left w:val="single" w:sz="8" w:space="0" w:color="000000"/>
              <w:bottom w:val="single" w:sz="8" w:space="0" w:color="000000"/>
              <w:right w:val="single" w:sz="8" w:space="0" w:color="000000"/>
            </w:tcBorders>
            <w:tcMar>
              <w:top w:w="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Bright House Networks Information Services (Indiana), LLC</w:t>
            </w:r>
          </w:p>
        </w:tc>
        <w:tc>
          <w:tcPr>
            <w:tcW w:w="13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2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20-1544486</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Bright House Networks Information Services (Michigan), LLC</w:t>
            </w:r>
          </w:p>
        </w:tc>
        <w:tc>
          <w:tcPr>
            <w:tcW w:w="13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2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20-1544302</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 Fiberlink, LLC</w:t>
            </w:r>
          </w:p>
        </w:tc>
        <w:tc>
          <w:tcPr>
            <w:tcW w:w="13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2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43-1928509</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 VI Fiberlink, LLC</w:t>
            </w:r>
          </w:p>
        </w:tc>
        <w:tc>
          <w:tcPr>
            <w:tcW w:w="13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2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20-0310684</w:t>
            </w:r>
          </w:p>
        </w:tc>
      </w:tr>
      <w:tr>
        <w:trPr/>
        <w:tc>
          <w:tcPr>
            <w:tcW w:w="5105" w:type="dxa"/>
            <w:tcBorders>
              <w:left w:val="single" w:sz="8" w:space="0" w:color="000000"/>
              <w:bottom w:val="single" w:sz="8" w:space="0" w:color="000000"/>
              <w:right w:val="single" w:sz="8" w:space="0" w:color="000000"/>
            </w:tcBorders>
            <w:tcMar>
              <w:top w:w="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 VII Fiberlink, LLC</w:t>
            </w:r>
          </w:p>
        </w:tc>
        <w:tc>
          <w:tcPr>
            <w:tcW w:w="13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2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20-0310704</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CCO Fiberlink, LLC</w:t>
            </w:r>
          </w:p>
        </w:tc>
        <w:tc>
          <w:tcPr>
            <w:tcW w:w="13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2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20-0310854</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CCO NR Holdings, LLC</w:t>
            </w:r>
          </w:p>
        </w:tc>
        <w:tc>
          <w:tcPr>
            <w:tcW w:w="13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2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86-1067241</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Communications ASC, LLC</w:t>
            </w:r>
          </w:p>
        </w:tc>
        <w:tc>
          <w:tcPr>
            <w:tcW w:w="13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2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93-4070587</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Communications SSC, LLC</w:t>
            </w:r>
          </w:p>
        </w:tc>
        <w:tc>
          <w:tcPr>
            <w:tcW w:w="13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2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93-4084052</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Communications, LLC</w:t>
            </w:r>
          </w:p>
        </w:tc>
        <w:tc>
          <w:tcPr>
            <w:tcW w:w="13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22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43-1659860</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- 3 -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255" w:type="dxa"/>
        <w:jc w:val="left"/>
        <w:tblInd w:w="-10" w:type="dxa"/>
        <w:tblLayout w:type="fixed"/>
        <w:tblCellMar>
          <w:top w:w="28" w:type="dxa"/>
          <w:left w:w="108" w:type="dxa"/>
          <w:bottom w:w="240" w:type="dxa"/>
          <w:right w:w="108" w:type="dxa"/>
        </w:tblCellMar>
      </w:tblPr>
      <w:tblGrid>
        <w:gridCol w:w="4130"/>
        <w:gridCol w:w="935"/>
        <w:gridCol w:w="1190"/>
      </w:tblGrid>
      <w:tr>
        <w:trPr/>
        <w:tc>
          <w:tcPr>
            <w:tcW w:w="41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Communications VI, L.L.C.</w:t>
            </w:r>
          </w:p>
        </w:tc>
        <w:tc>
          <w:tcPr>
            <w:tcW w:w="93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43-1854208</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Charter Communications VI HoldCo,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pPr>
            <w:r>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pPr>
            <w:r>
              <w:rPr/>
              <w:t>75-2775560</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Distribution,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74-3089287</w:t>
            </w:r>
          </w:p>
        </w:tc>
      </w:tr>
      <w:tr>
        <w:trPr/>
        <w:tc>
          <w:tcPr>
            <w:tcW w:w="4130" w:type="dxa"/>
            <w:tcBorders>
              <w:left w:val="single" w:sz="8" w:space="0" w:color="000000"/>
              <w:bottom w:val="single" w:sz="8" w:space="0" w:color="000000"/>
              <w:right w:val="single" w:sz="8" w:space="0" w:color="000000"/>
            </w:tcBorders>
            <w:tcMar>
              <w:top w:w="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 Alabama,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20-0193389</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 Georgia,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20-0193674</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 Illinois,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43-1943035</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 Maryland II,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81-2255084</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 Michigan,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43-1875389</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 Missouri,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43-1928511</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 Nebraska,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81-0547765</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 Tennessee,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20-0193707</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CA-CCO,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43-1943040</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CC VIII,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43-1793439</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CCO,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43-1876029</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CT-CCO,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20-0339366</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LA-CCO,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20-0709283</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MA-CCO,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20-0258357</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MS-CCVI,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20-0709405</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NC-CCO,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20-0258604</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NH-CCO,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20-0709514</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NV-CCVII,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20-0474139</w:t>
            </w:r>
          </w:p>
        </w:tc>
      </w:tr>
      <w:tr>
        <w:trPr/>
        <w:tc>
          <w:tcPr>
            <w:tcW w:w="4130" w:type="dxa"/>
            <w:tcBorders>
              <w:left w:val="single" w:sz="8" w:space="0" w:color="000000"/>
              <w:bottom w:val="single" w:sz="8" w:space="0" w:color="000000"/>
              <w:right w:val="single" w:sz="8" w:space="0" w:color="000000"/>
            </w:tcBorders>
            <w:tcMar>
              <w:top w:w="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NY-CCO,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20-0426827</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OR-CCVII,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20-0474232</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SC-CCO,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43-1943037</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TX-CCO,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43-1943038</w:t>
            </w:r>
          </w:p>
        </w:tc>
      </w:tr>
      <w:tr>
        <w:trPr/>
        <w:tc>
          <w:tcPr>
            <w:tcW w:w="41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VA-CCO, LLC</w:t>
            </w:r>
          </w:p>
        </w:tc>
        <w:tc>
          <w:tcPr>
            <w:tcW w:w="93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20-0709822</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- 4 -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160" w:type="dxa"/>
        <w:jc w:val="left"/>
        <w:tblInd w:w="-10" w:type="dxa"/>
        <w:tblLayout w:type="fixed"/>
        <w:tblCellMar>
          <w:top w:w="28" w:type="dxa"/>
          <w:left w:w="108" w:type="dxa"/>
          <w:bottom w:w="240" w:type="dxa"/>
          <w:right w:w="108" w:type="dxa"/>
        </w:tblCellMar>
      </w:tblPr>
      <w:tblGrid>
        <w:gridCol w:w="3350"/>
        <w:gridCol w:w="770"/>
        <w:gridCol w:w="1040"/>
      </w:tblGrid>
      <w:tr>
        <w:trPr/>
        <w:tc>
          <w:tcPr>
            <w:tcW w:w="33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VT-CCO, LLC</w:t>
            </w:r>
          </w:p>
        </w:tc>
        <w:tc>
          <w:tcPr>
            <w:tcW w:w="77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20-0258644</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WA-CCVII,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20-0474261</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IP Enabled Services,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92-3313105</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Leasing Holding Company,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47-4669203</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Procurement Leasing,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47-4657690</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DukeNet Communications,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27-2985707</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Innovar Media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46-5437739</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Advanced Services,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26-0354307</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Fiberlink Florida,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84-4375530</w:t>
            </w:r>
          </w:p>
        </w:tc>
      </w:tr>
      <w:tr>
        <w:trPr/>
        <w:tc>
          <w:tcPr>
            <w:tcW w:w="3350" w:type="dxa"/>
            <w:tcBorders>
              <w:left w:val="single" w:sz="8" w:space="0" w:color="000000"/>
              <w:bottom w:val="single" w:sz="8" w:space="0" w:color="000000"/>
              <w:right w:val="single" w:sz="8" w:space="0" w:color="000000"/>
            </w:tcBorders>
            <w:tcMar>
              <w:top w:w="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Gulf Coast,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45-4608769</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Mid-America,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45-4593320</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Mobile Equipment,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82-3887201</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Mobile,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82-2492552</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New York Metro,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45-4593291</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NLP,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45-1560311</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Northeast,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45-4593341</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Oceanic,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45-4593273</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Originals Development,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83-1623014</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Originals,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82-3414467</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Pacific West,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45-4593361</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Reach,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27-4633156</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RSN,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83-1611206</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SN,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93-1943164</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Southeast,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45-4608839</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- 5 -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945" w:type="dxa"/>
        <w:jc w:val="left"/>
        <w:tblInd w:w="-10" w:type="dxa"/>
        <w:tblLayout w:type="fixed"/>
        <w:tblCellMar>
          <w:top w:w="28" w:type="dxa"/>
          <w:left w:w="108" w:type="dxa"/>
          <w:bottom w:w="240" w:type="dxa"/>
          <w:right w:w="108" w:type="dxa"/>
        </w:tblCellMar>
      </w:tblPr>
      <w:tblGrid>
        <w:gridCol w:w="5135"/>
        <w:gridCol w:w="770"/>
        <w:gridCol w:w="1040"/>
      </w:tblGrid>
      <w:tr>
        <w:trPr/>
        <w:tc>
          <w:tcPr>
            <w:tcW w:w="51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SportsNet, LLC</w:t>
            </w:r>
          </w:p>
        </w:tc>
        <w:tc>
          <w:tcPr>
            <w:tcW w:w="77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93-1958585</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Sunshine State,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02-0636401</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TV Essentials,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83-4704194</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Wireless Holdings,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83-1856732</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Business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35-2466312</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Enterprises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45-4854395</w:t>
            </w:r>
          </w:p>
        </w:tc>
      </w:tr>
      <w:tr>
        <w:trPr/>
        <w:tc>
          <w:tcPr>
            <w:tcW w:w="5135" w:type="dxa"/>
            <w:tcBorders>
              <w:left w:val="single" w:sz="8" w:space="0" w:color="000000"/>
              <w:bottom w:val="single" w:sz="8" w:space="0" w:color="000000"/>
              <w:right w:val="single" w:sz="8" w:space="0" w:color="000000"/>
            </w:tcBorders>
            <w:tcMar>
              <w:top w:w="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(Alabama),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20-0639409</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(Arizona),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20-4370232</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(California),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20-0162970</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(Colorado),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26-2375439</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(Hawaii),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20-0162993</w:t>
            </w:r>
          </w:p>
        </w:tc>
      </w:tr>
      <w:tr>
        <w:trPr/>
        <w:tc>
          <w:tcPr>
            <w:tcW w:w="5135" w:type="dxa"/>
            <w:tcBorders>
              <w:left w:val="single" w:sz="8" w:space="0" w:color="000000"/>
              <w:bottom w:val="single" w:sz="8" w:space="0" w:color="000000"/>
              <w:right w:val="single" w:sz="8" w:space="0" w:color="000000"/>
            </w:tcBorders>
            <w:tcMar>
              <w:top w:w="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(Idaho),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20-8254896</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(Illinois),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26-2375576</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(Indiana),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20-1618562</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(Kansas),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20-0163009</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(Kentucky),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20-4370430</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(Maine),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48-1296576</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(Massachusetts),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20-0639517</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- 6 -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050" w:type="dxa"/>
        <w:jc w:val="left"/>
        <w:tblInd w:w="-10" w:type="dxa"/>
        <w:tblLayout w:type="fixed"/>
        <w:tblCellMar>
          <w:top w:w="28" w:type="dxa"/>
          <w:left w:w="108" w:type="dxa"/>
          <w:bottom w:w="240" w:type="dxa"/>
          <w:right w:w="183" w:type="dxa"/>
        </w:tblCellMar>
      </w:tblPr>
      <w:tblGrid>
        <w:gridCol w:w="5240"/>
        <w:gridCol w:w="770"/>
        <w:gridCol w:w="1040"/>
      </w:tblGrid>
      <w:tr>
        <w:trPr/>
        <w:tc>
          <w:tcPr>
            <w:tcW w:w="52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(Michigan), LLC</w:t>
            </w:r>
          </w:p>
        </w:tc>
        <w:tc>
          <w:tcPr>
            <w:tcW w:w="77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26-2376102</w:t>
            </w:r>
          </w:p>
        </w:tc>
      </w:tr>
      <w:tr>
        <w:trPr/>
        <w:tc>
          <w:tcPr>
            <w:tcW w:w="52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(Missouri),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20-0163031</w:t>
            </w:r>
          </w:p>
        </w:tc>
      </w:tr>
      <w:tr>
        <w:trPr/>
        <w:tc>
          <w:tcPr>
            <w:tcW w:w="52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(Nebraska),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20-0597251</w:t>
            </w:r>
          </w:p>
        </w:tc>
      </w:tr>
      <w:tr>
        <w:trPr/>
        <w:tc>
          <w:tcPr>
            <w:tcW w:w="52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(New Hampshire),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20-0834759</w:t>
            </w:r>
          </w:p>
        </w:tc>
      </w:tr>
      <w:tr>
        <w:trPr/>
        <w:tc>
          <w:tcPr>
            <w:tcW w:w="52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(New Jersey),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20-0605091</w:t>
            </w:r>
          </w:p>
        </w:tc>
      </w:tr>
      <w:tr>
        <w:trPr/>
        <w:tc>
          <w:tcPr>
            <w:tcW w:w="52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(New Mexico),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20-8244978</w:t>
            </w:r>
          </w:p>
        </w:tc>
      </w:tr>
      <w:tr>
        <w:trPr/>
        <w:tc>
          <w:tcPr>
            <w:tcW w:w="52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(New York),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06-1530234</w:t>
            </w:r>
          </w:p>
        </w:tc>
      </w:tr>
      <w:tr>
        <w:trPr/>
        <w:tc>
          <w:tcPr>
            <w:tcW w:w="52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(North Carolina),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05-0563203</w:t>
            </w:r>
          </w:p>
        </w:tc>
      </w:tr>
      <w:tr>
        <w:trPr/>
        <w:tc>
          <w:tcPr>
            <w:tcW w:w="52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(Ohio),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20-0163449</w:t>
            </w:r>
          </w:p>
        </w:tc>
      </w:tr>
      <w:tr>
        <w:trPr/>
        <w:tc>
          <w:tcPr>
            <w:tcW w:w="52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(Pennsylvania),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20-0639607</w:t>
            </w:r>
          </w:p>
        </w:tc>
      </w:tr>
      <w:tr>
        <w:trPr/>
        <w:tc>
          <w:tcPr>
            <w:tcW w:w="52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(South Carolina),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20-0163480</w:t>
            </w:r>
          </w:p>
        </w:tc>
      </w:tr>
      <w:tr>
        <w:trPr/>
        <w:tc>
          <w:tcPr>
            <w:tcW w:w="52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(Tennessee),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20-0639795</w:t>
            </w:r>
          </w:p>
        </w:tc>
      </w:tr>
      <w:tr>
        <w:trPr/>
        <w:tc>
          <w:tcPr>
            <w:tcW w:w="52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(Texas),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20-0095157</w:t>
            </w:r>
          </w:p>
        </w:tc>
      </w:tr>
      <w:tr>
        <w:trPr/>
        <w:tc>
          <w:tcPr>
            <w:tcW w:w="52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(Virginia),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20-4370738</w:t>
            </w:r>
          </w:p>
        </w:tc>
      </w:tr>
      <w:tr>
        <w:trPr/>
        <w:tc>
          <w:tcPr>
            <w:tcW w:w="52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(Washington),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20-5690377</w:t>
            </w:r>
          </w:p>
        </w:tc>
      </w:tr>
      <w:tr>
        <w:trPr/>
        <w:tc>
          <w:tcPr>
            <w:tcW w:w="52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(West Virginia),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20-1620308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- 7 -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630" w:type="dxa"/>
        <w:jc w:val="left"/>
        <w:tblInd w:w="-10" w:type="dxa"/>
        <w:tblLayout w:type="fixed"/>
        <w:tblCellMar>
          <w:top w:w="28" w:type="dxa"/>
          <w:left w:w="108" w:type="dxa"/>
          <w:bottom w:w="240" w:type="dxa"/>
          <w:right w:w="108" w:type="dxa"/>
        </w:tblCellMar>
      </w:tblPr>
      <w:tblGrid>
        <w:gridCol w:w="4820"/>
        <w:gridCol w:w="770"/>
        <w:gridCol w:w="1040"/>
      </w:tblGrid>
      <w:tr>
        <w:trPr/>
        <w:tc>
          <w:tcPr>
            <w:tcW w:w="48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(Wisconsin), LLC</w:t>
            </w:r>
          </w:p>
        </w:tc>
        <w:tc>
          <w:tcPr>
            <w:tcW w:w="77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20-0163685</w:t>
            </w:r>
          </w:p>
        </w:tc>
      </w:tr>
      <w:tr>
        <w:trPr/>
        <w:tc>
          <w:tcPr>
            <w:tcW w:w="48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81-2545593</w:t>
            </w:r>
          </w:p>
        </w:tc>
      </w:tr>
      <w:tr>
        <w:trPr/>
        <w:tc>
          <w:tcPr>
            <w:tcW w:w="48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TWC Administration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90-0882471</w:t>
            </w:r>
          </w:p>
        </w:tc>
      </w:tr>
      <w:tr>
        <w:trPr/>
        <w:tc>
          <w:tcPr>
            <w:tcW w:w="4820" w:type="dxa"/>
            <w:tcBorders>
              <w:left w:val="single" w:sz="8" w:space="0" w:color="000000"/>
              <w:bottom w:val="single" w:sz="8" w:space="0" w:color="000000"/>
              <w:right w:val="single" w:sz="8" w:space="0" w:color="000000"/>
            </w:tcBorders>
            <w:tcMar>
              <w:top w:w="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TWC Communications,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35-2205910</w:t>
            </w:r>
          </w:p>
        </w:tc>
      </w:tr>
      <w:tr>
        <w:trPr/>
        <w:tc>
          <w:tcPr>
            <w:tcW w:w="48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TWC IP Enabled Services,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92-3326637</w:t>
            </w:r>
          </w:p>
        </w:tc>
      </w:tr>
      <w:tr>
        <w:trPr/>
        <w:tc>
          <w:tcPr>
            <w:tcW w:w="48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TWC SEE Holdco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20-5421447</w:t>
            </w:r>
          </w:p>
        </w:tc>
      </w:tr>
      <w:tr>
        <w:trPr/>
        <w:tc>
          <w:tcPr>
            <w:tcW w:w="48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TWCIS Holdco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27-3481972</w:t>
            </w:r>
          </w:p>
        </w:tc>
      </w:tr>
      <w:tr>
        <w:trPr/>
        <w:tc>
          <w:tcPr>
            <w:tcW w:w="48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Visual Advertising Sales Technology,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68-0470452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w:t>
        <w:br/>
        <w:t>and Guarantees of Debt Securities</w:t>
        <w:br/>
        <w:t>(Title of the indenture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- 8 -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200"/>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7385" w:type="dxa"/>
            <w:tcBorders/>
            <w:vAlign w:val="center"/>
          </w:tcPr>
          <w:p>
            <w:pPr>
              <w:pStyle w:val="TableContents"/>
              <w:bidi w:val="0"/>
              <w:spacing w:before="0" w:after="283"/>
              <w:jc w:val="both"/>
              <w:rPr>
                <w:b/>
              </w:rPr>
            </w:pPr>
            <w:r>
              <w:rPr>
                <w:b/>
              </w:rPr>
              <w:t>General information. Furnish the following information as to the trustee: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6"/>
        <w:gridCol w:w="9826"/>
      </w:tblGrid>
      <w:tr>
        <w:trPr/>
        <w:tc>
          <w:tcPr>
            <w:tcW w:w="4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b/>
              </w:rPr>
            </w:pPr>
            <w:r>
              <w:rPr>
                <w:b/>
              </w:rPr>
              <w:t>(a)</w:t>
            </w:r>
          </w:p>
        </w:tc>
        <w:tc>
          <w:tcPr>
            <w:tcW w:w="9826" w:type="dxa"/>
            <w:tcBorders/>
            <w:vAlign w:val="center"/>
          </w:tcPr>
          <w:p>
            <w:pPr>
              <w:pStyle w:val="TableContents"/>
              <w:bidi w:val="0"/>
              <w:spacing w:before="0" w:after="283"/>
              <w:jc w:val="both"/>
              <w:rPr>
                <w:b/>
              </w:rPr>
            </w:pPr>
            <w:r>
              <w:rPr>
                <w:b/>
              </w:rPr>
              <w:t>Name and address of each examining or supervising authority to which it is subject.</w:t>
            </w:r>
          </w:p>
        </w:tc>
      </w:tr>
    </w:tbl>
    <w:p>
      <w:pPr>
        <w:pStyle w:val="TextBody"/>
        <w:bidi w:val="0"/>
        <w:spacing w:before="0" w:after="0"/>
        <w:jc w:val="left"/>
        <w:rPr>
          <w:caps w:val="false"/>
          <w:smallCaps w:val="false"/>
        </w:rPr>
      </w:pPr>
      <w:r>
        <w:rPr>
          <w:caps w:val="false"/>
          <w:smallCaps w:val="false"/>
        </w:rPr>
        <w:t> </w:t>
      </w:r>
    </w:p>
    <w:tbl>
      <w:tblPr>
        <w:tblW w:w="5515" w:type="dxa"/>
        <w:jc w:val="left"/>
        <w:tblInd w:w="0" w:type="dxa"/>
        <w:tblLayout w:type="fixed"/>
        <w:tblCellMar>
          <w:top w:w="28" w:type="dxa"/>
          <w:left w:w="0" w:type="dxa"/>
          <w:bottom w:w="28" w:type="dxa"/>
          <w:right w:w="0" w:type="dxa"/>
        </w:tblCellMar>
      </w:tblPr>
      <w:tblGrid>
        <w:gridCol w:w="3365"/>
        <w:gridCol w:w="60"/>
        <w:gridCol w:w="2090"/>
      </w:tblGrid>
      <w:tr>
        <w:trPr/>
        <w:tc>
          <w:tcPr>
            <w:tcW w:w="3365"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0"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r>
      <w:tr>
        <w:trPr/>
        <w:tc>
          <w:tcPr>
            <w:tcW w:w="3365" w:type="dxa"/>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Comptroller of the Currency </w:t>
              <w:br/>
              <w:t>United States Department of the Treasury</w:t>
            </w:r>
          </w:p>
        </w:tc>
        <w:tc>
          <w:tcPr>
            <w:tcW w:w="60" w:type="dxa"/>
            <w:tcBorders/>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0" w:type="dxa"/>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20219</w:t>
            </w:r>
          </w:p>
        </w:tc>
      </w:tr>
      <w:tr>
        <w:trPr/>
        <w:tc>
          <w:tcPr>
            <w:tcW w:w="3365" w:type="dxa"/>
            <w:tcBorders/>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0" w:type="dxa"/>
            <w:tcBorders/>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Reserve Bank</w:t>
            </w:r>
          </w:p>
        </w:tc>
        <w:tc>
          <w:tcPr>
            <w:tcW w:w="60" w:type="dxa"/>
            <w:tcBorders/>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0" w:type="dxa"/>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94105</w:t>
            </w:r>
          </w:p>
        </w:tc>
      </w:tr>
      <w:tr>
        <w:trPr/>
        <w:tc>
          <w:tcPr>
            <w:tcW w:w="3365" w:type="dxa"/>
            <w:tcBorders/>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0" w:type="dxa"/>
            <w:tcBorders/>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Deposit Insurance Corporation</w:t>
            </w:r>
          </w:p>
        </w:tc>
        <w:tc>
          <w:tcPr>
            <w:tcW w:w="60" w:type="dxa"/>
            <w:tcBorders/>
            <w:tcMar>
              <w:top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2090" w:type="dxa"/>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20429</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0"/>
        <w:gridCol w:w="487"/>
        <w:gridCol w:w="9658"/>
      </w:tblGrid>
      <w:tr>
        <w:trPr/>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b/>
              </w:rPr>
            </w:pPr>
            <w:r>
              <w:rPr>
                <w:b/>
              </w:rPr>
              <w:t>(b)</w:t>
            </w:r>
          </w:p>
        </w:tc>
        <w:tc>
          <w:tcPr>
            <w:tcW w:w="9658" w:type="dxa"/>
            <w:tcBorders/>
            <w:vAlign w:val="center"/>
          </w:tcPr>
          <w:p>
            <w:pPr>
              <w:pStyle w:val="TableContents"/>
              <w:bidi w:val="0"/>
              <w:spacing w:before="0" w:after="283"/>
              <w:jc w:val="both"/>
              <w:rPr>
                <w:b/>
              </w:rPr>
            </w:pPr>
            <w:r>
              <w:rPr>
                <w:b/>
              </w:rPr>
              <w:t>Whether it is authorized to exercise corporate trust powers.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731"/>
        <w:gridCol w:w="9336"/>
      </w:tblGrid>
      <w:tr>
        <w:trPr/>
        <w:tc>
          <w:tcPr>
            <w:tcW w:w="13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b/>
              </w:rPr>
            </w:pPr>
            <w:r>
              <w:rPr>
                <w:b/>
              </w:rPr>
              <w:t>2.</w:t>
            </w:r>
          </w:p>
        </w:tc>
        <w:tc>
          <w:tcPr>
            <w:tcW w:w="9336" w:type="dxa"/>
            <w:tcBorders/>
            <w:vAlign w:val="center"/>
          </w:tcPr>
          <w:p>
            <w:pPr>
              <w:pStyle w:val="TableContents"/>
              <w:bidi w:val="0"/>
              <w:spacing w:before="0" w:after="283"/>
              <w:jc w:val="both"/>
              <w:rPr>
                <w:b/>
              </w:rPr>
            </w:pPr>
            <w:r>
              <w:rPr>
                <w:b/>
              </w:rPr>
              <w:t>Affiliations with Obligor.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If the obligor is an affiliate of the trustee, describe each</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such affiliation.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8"/>
        <w:gridCol w:w="1587"/>
        <w:gridCol w:w="8430"/>
      </w:tblGrid>
      <w:tr>
        <w:trPr/>
        <w:tc>
          <w:tcPr>
            <w:tcW w:w="188"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b/>
              </w:rPr>
            </w:pPr>
            <w:r>
              <w:rPr>
                <w:b/>
              </w:rPr>
              <w:t>16.</w:t>
            </w:r>
          </w:p>
        </w:tc>
        <w:tc>
          <w:tcPr>
            <w:tcW w:w="8430" w:type="dxa"/>
            <w:tcBorders/>
            <w:vAlign w:val="center"/>
          </w:tcPr>
          <w:p>
            <w:pPr>
              <w:pStyle w:val="TableContents"/>
              <w:bidi w:val="0"/>
              <w:spacing w:before="0" w:after="283"/>
              <w:jc w:val="both"/>
              <w:rPr>
                <w:b/>
              </w:rPr>
            </w:pPr>
            <w:r>
              <w:rPr>
                <w:b/>
              </w:rPr>
              <w:t xml:space="preserve">List of Exhibits.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 identified in parentheses below, on file with the Commission, are incorporated herein by reference as an exhibit hereto, pursuant to Rule 7a-29 under the Trust Indenture Act of 1939 (the "Act").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1.</w:t>
            </w:r>
          </w:p>
        </w:tc>
        <w:tc>
          <w:tcPr>
            <w:tcW w:w="10010" w:type="dxa"/>
            <w:tcBorders/>
            <w:vAlign w:val="center"/>
          </w:tcPr>
          <w:p>
            <w:pPr>
              <w:pStyle w:val="TableContents"/>
              <w:bidi w:val="0"/>
              <w:spacing w:before="0" w:after="283"/>
              <w:jc w:val="both"/>
              <w:rPr/>
            </w:pPr>
            <w:r>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2.</w:t>
            </w:r>
          </w:p>
        </w:tc>
        <w:tc>
          <w:tcPr>
            <w:tcW w:w="9987" w:type="dxa"/>
            <w:tcBorders/>
            <w:vAlign w:val="center"/>
          </w:tcPr>
          <w:p>
            <w:pPr>
              <w:pStyle w:val="TableContents"/>
              <w:bidi w:val="0"/>
              <w:spacing w:before="0" w:after="283"/>
              <w:jc w:val="both"/>
              <w:rPr/>
            </w:pPr>
            <w:r>
              <w:rPr/>
              <w:t>A copy of certificate of authority of the trustee to commence business. (Exhibit 2 to Form T-1 filed with Registration Statement No. 333-121948).</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3.</w:t>
            </w:r>
          </w:p>
        </w:tc>
        <w:tc>
          <w:tcPr>
            <w:tcW w:w="9988" w:type="dxa"/>
            <w:tcBorders/>
            <w:vAlign w:val="center"/>
          </w:tcPr>
          <w:p>
            <w:pPr>
              <w:pStyle w:val="TableContents"/>
              <w:bidi w:val="0"/>
              <w:spacing w:before="0" w:after="283"/>
              <w:jc w:val="both"/>
              <w:rPr/>
            </w:pPr>
            <w:r>
              <w:rPr/>
              <w:t>A copy of the authorization of the trustee to exercise corporate trust powers (Exhibit 3 to Form T-1 filed with Registration Statement No. 333-152875).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- 9 -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4.</w:t>
            </w:r>
          </w:p>
        </w:tc>
        <w:tc>
          <w:tcPr>
            <w:tcW w:w="9977" w:type="dxa"/>
            <w:tcBorders/>
            <w:vAlign w:val="center"/>
          </w:tcPr>
          <w:p>
            <w:pPr>
              <w:pStyle w:val="TableContents"/>
              <w:bidi w:val="0"/>
              <w:spacing w:before="0" w:after="283"/>
              <w:jc w:val="both"/>
              <w:rPr/>
            </w:pPr>
            <w:r>
              <w:rPr/>
              <w:t>A copy of the existing by-laws of the trustee (Exhibit 4 to Form T-1 filed with Registration Statement No. 333-229762).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6.</w:t>
            </w:r>
          </w:p>
        </w:tc>
        <w:tc>
          <w:tcPr>
            <w:tcW w:w="9985" w:type="dxa"/>
            <w:tcBorders/>
            <w:vAlign w:val="center"/>
          </w:tcPr>
          <w:p>
            <w:pPr>
              <w:pStyle w:val="TableContents"/>
              <w:bidi w:val="0"/>
              <w:spacing w:before="0" w:after="283"/>
              <w:jc w:val="both"/>
              <w:rPr/>
            </w:pPr>
            <w:r>
              <w:rPr/>
              <w:t>The consent of the trustee required by Section 321(b) of the Act (Exhibit 6 to Form T-1 filed with Registration Statement No. 333-152875).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7.</w:t>
            </w:r>
          </w:p>
        </w:tc>
        <w:tc>
          <w:tcPr>
            <w:tcW w:w="9986" w:type="dxa"/>
            <w:tcBorders/>
            <w:vAlign w:val="center"/>
          </w:tcPr>
          <w:p>
            <w:pPr>
              <w:pStyle w:val="TableContents"/>
              <w:bidi w:val="0"/>
              <w:spacing w:before="0" w:after="283"/>
              <w:jc w:val="both"/>
              <w:rPr/>
            </w:pPr>
            <w:r>
              <w:rPr/>
              <w:t>A copy of the latest report of condition of the Trustee published pursuant to law or to the requirements of its supervising or examining authority.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- 10 -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Chicago, and State of Illinois, on the 27th day of July, 2026.</w:t>
      </w:r>
    </w:p>
    <w:p>
      <w:pPr>
        <w:pStyle w:val="TextBody"/>
        <w:bidi w:val="0"/>
        <w:spacing w:before="0" w:after="0"/>
        <w:ind w:left="0" w:right="0" w:firstLine="720"/>
        <w:jc w:val="both"/>
        <w:rPr>
          <w:caps w:val="false"/>
          <w:smallCaps w:val="false"/>
        </w:rPr>
      </w:pPr>
      <w:r>
        <w:rPr>
          <w:caps w:val="false"/>
          <w:smallCaps w:val="false"/>
        </w:rPr>
        <w:t> </w:t>
      </w:r>
    </w:p>
    <w:tbl>
      <w:tblPr>
        <w:tblW w:w="5389" w:type="dxa"/>
        <w:jc w:val="left"/>
        <w:tblInd w:w="0" w:type="dxa"/>
        <w:tblLayout w:type="fixed"/>
        <w:tblCellMar>
          <w:top w:w="0" w:type="dxa"/>
          <w:left w:w="0" w:type="dxa"/>
          <w:bottom w:w="0" w:type="dxa"/>
          <w:right w:w="0" w:type="dxa"/>
        </w:tblCellMar>
      </w:tblPr>
      <w:tblGrid>
        <w:gridCol w:w="75"/>
        <w:gridCol w:w="1250"/>
        <w:gridCol w:w="406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3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Ann Dolezal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left"/>
              <w:rPr>
                <w:caps w:val="false"/>
                <w:smallCaps w:val="false"/>
              </w:rPr>
            </w:pPr>
            <w:r>
              <w:rPr>
                <w:caps w:val="false"/>
                <w:smallCaps w:val="false"/>
              </w:rPr>
              <w:t> </w:t>
            </w:r>
          </w:p>
        </w:tc>
        <w:tc>
          <w:tcPr>
            <w:tcW w:w="4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Ann M. Dolezal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50" w:type="dxa"/>
            <w:tcBorders/>
            <w:vAlign w:val="center"/>
          </w:tcPr>
          <w:p>
            <w:pPr>
              <w:pStyle w:val="TableContents"/>
              <w:bidi w:val="0"/>
              <w:spacing w:before="0" w:after="283"/>
              <w:jc w:val="left"/>
              <w:rPr>
                <w:caps w:val="false"/>
                <w:smallCaps w:val="false"/>
              </w:rPr>
            </w:pPr>
            <w:r>
              <w:rPr>
                <w:caps w:val="false"/>
                <w:smallCaps w:val="false"/>
              </w:rPr>
              <w:t> </w:t>
            </w:r>
          </w:p>
        </w:tc>
        <w:tc>
          <w:tcPr>
            <w:tcW w:w="4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0"/>
        <w:ind w:left="0" w:right="0" w:firstLine="3240"/>
        <w:jc w:val="center"/>
        <w:rPr>
          <w:caps w:val="false"/>
          <w:smallCaps w:val="false"/>
        </w:rPr>
      </w:pPr>
      <w:r>
        <w:rPr>
          <w:caps w:val="false"/>
          <w:smallCaps w:val="false"/>
        </w:rPr>
        <w:t> </w:t>
      </w:r>
    </w:p>
    <w:p>
      <w:pPr>
        <w:pStyle w:val="TextBody"/>
        <w:bidi w:val="0"/>
        <w:spacing w:before="0" w:after="0"/>
        <w:ind w:left="0" w:right="0" w:firstLine="324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- 11 -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Report of Condition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333 South Hope Street, Suite 2525, Los Angeles, CA 90071</w:t>
      </w:r>
    </w:p>
    <w:p>
      <w:pPr>
        <w:pStyle w:val="TextBody"/>
        <w:bidi w:val="0"/>
        <w:spacing w:before="0" w:after="0"/>
        <w:ind w:left="0" w:right="0" w:hanging="0"/>
        <w:jc w:val="left"/>
        <w:rPr/>
      </w:pPr>
      <w:r>
        <w:rPr/>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close of business March 31, 2026, published in accordance with Federal regulatory authority instructions.</w:t>
      </w:r>
    </w:p>
    <w:p>
      <w:pPr>
        <w:pStyle w:val="TextBody"/>
        <w:bidi w:val="0"/>
        <w:spacing w:before="0" w:after="0"/>
        <w:ind w:left="0" w:right="0" w:hanging="0"/>
        <w:jc w:val="left"/>
        <w:rPr>
          <w:caps w:val="false"/>
          <w:smallCaps w:val="false"/>
        </w:rPr>
      </w:pPr>
      <w:r>
        <w:rPr>
          <w:caps w:val="false"/>
          <w:smallCaps w:val="false"/>
        </w:rPr>
        <w:t> </w:t>
      </w:r>
    </w:p>
    <w:tbl>
      <w:tblPr>
        <w:tblW w:w="7434" w:type="dxa"/>
        <w:jc w:val="left"/>
        <w:tblInd w:w="0" w:type="dxa"/>
        <w:tblLayout w:type="fixed"/>
        <w:tblCellMar>
          <w:top w:w="0" w:type="dxa"/>
          <w:left w:w="0" w:type="dxa"/>
          <w:bottom w:w="0" w:type="dxa"/>
          <w:right w:w="0" w:type="dxa"/>
        </w:tblCellMar>
      </w:tblPr>
      <w:tblGrid>
        <w:gridCol w:w="6035"/>
        <w:gridCol w:w="60"/>
        <w:gridCol w:w="163"/>
        <w:gridCol w:w="1101"/>
        <w:gridCol w:w="75"/>
      </w:tblGrid>
      <w:tr>
        <w:trPr/>
        <w:tc>
          <w:tcPr>
            <w:tcW w:w="6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center"/>
              <w:rPr>
                <w:sz w:val="20"/>
              </w:rPr>
            </w:pPr>
            <w:r>
              <w:rPr>
                <w:sz w:val="20"/>
              </w:rPr>
              <w:t>Dollar amounts</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in thousands</w:t>
            </w:r>
          </w:p>
        </w:tc>
        <w:tc>
          <w:tcPr>
            <w:tcW w:w="7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264"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64" w:type="dxa"/>
            <w:gridSpan w:val="2"/>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balances due from depository institutions: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Noninterest-bearing balances and currency and coin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Interest-bearing balances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262,835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Held-to-maturity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Available-for-sale debt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securities with readily determinable fair values not held for trading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 sold and securities purchased under agreements to resell:</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 sold in domestic offices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purchased under agreements to resell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lease financing receivables: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leases held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leases held for investment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Allowance for credit losses on loans and leases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leases held for investment, net of allowance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Premises and fixed assets (including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real estate owned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unconsolidated subsidiaries and associated companies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and indirect investments in real estate ventures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856,313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117,808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1,391,736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200"/>
        <w:gridCol w:w="60"/>
        <w:gridCol w:w="60"/>
        <w:gridCol w:w="845"/>
        <w:gridCol w:w="75"/>
      </w:tblGrid>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LIABILITIES</w:t>
            </w:r>
          </w:p>
        </w:tc>
        <w:tc>
          <w:tcPr>
            <w:tcW w:w="60" w:type="dxa"/>
            <w:tcBorders/>
            <w:shd w:fill="CCEEFF" w:val="clear"/>
            <w:vAlign w:val="center"/>
          </w:tcPr>
          <w:p>
            <w:pPr>
              <w:pStyle w:val="TableContents"/>
              <w:bidi w:val="0"/>
              <w:spacing w:before="0" w:after="283"/>
              <w:jc w:val="left"/>
              <w:rPr/>
            </w:pPr>
            <w:r>
              <w:rPr/>
              <w:t> </w:t>
            </w:r>
          </w:p>
        </w:tc>
        <w:tc>
          <w:tcPr>
            <w:tcW w:w="905"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05" w:type="dxa"/>
            <w:gridSpan w:val="2"/>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domestic offices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Noninterest-bearing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Interest-bearing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 purchased and securities sold under agreements to repurchase: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 purchased in domestic offices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sold under agreements to repurchase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borrowed money: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mortgage indebtedness)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notes and debentures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277,214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278,285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Perpetual preferred stock and related surplus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Surplus (exclude all surplus related to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available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1,003,856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equity capital components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available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bank equity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1,113,451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(minority) interests in consolidated subsidiaries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1,113,451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equity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1,391,736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Natalie Bobnar,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Natalie Bobnar       )       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3275"/>
        <w:gridCol w:w="80"/>
        <w:gridCol w:w="1610"/>
      </w:tblGrid>
      <w:tr>
        <w:trPr/>
        <w:tc>
          <w:tcPr>
            <w:tcW w:w="3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Elizabeth Lyndon, Managing Director</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 Weeks, President</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(Trustees)</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Fernando A. Costa, Managing Director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xml:space="preserve">2 </w:t>
      </w:r>
    </w:p>
    <w:p>
      <w:pPr>
        <w:pStyle w:val="TextBody"/>
        <w:bidi w:val="0"/>
        <w:spacing w:before="0" w:after="283"/>
        <w:jc w:val="left"/>
        <w:rPr/>
      </w:pPr>
      <w:r>
        <w:rPr/>
        <w:t> </w:t>
      </w:r>
    </w:p>
    <w:p>
      <w:pPr>
        <w:pStyle w:val="TextBody"/>
        <w:bidi w:val="0"/>
        <w:jc w:val="left"/>
        <w:rPr/>
      </w:pPr>
      <w:bookmarkStart w:id="27" w:name="tm2621265d2_ex25-2.htm"/>
      <w:bookmarkStart w:id="28" w:name="kstm2621265d2_ex252"/>
      <w:bookmarkEnd w:id="27"/>
      <w:bookmarkEnd w:id="2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25.2</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pPr>
      <w:r>
        <w:rPr/>
        <w:t>UNITED STATES</w:t>
        <w:br/>
        <w:t>SECURITIES AND EXCHANGE COMMISSION</w:t>
        <w:br/>
        <w:t>Washington, D.C. 20549</w:t>
        <w:br/>
        <w:br/>
        <w:t>FORM T-1</w:t>
      </w:r>
    </w:p>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OF ELIGIBILITY</w:t>
        <w:br/>
        <w:t>UNDER THE TRUST INDENTURE ACT OF 1939 OF A</w:t>
        <w:br/>
        <w:t>CORPORATION DESIGNATED TO ACT 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AN APPLICATION TO DETERMINE</w:t>
        <w:br/>
        <w:t>ELIGIBILITY OF A TRUSTEE PURSUANT TO</w:t>
        <w:br/>
        <w:t>SECTION 305(b)(2)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w:t>
        <w:br/>
        <w:t>TRUST COMPANY, N.A.</w:t>
        <w:br/>
        <w:t>(Exact name of trustee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720" w:type="dxa"/>
        <w:jc w:val="left"/>
        <w:tblInd w:w="-10" w:type="dxa"/>
        <w:tblLayout w:type="fixed"/>
        <w:tblCellMar>
          <w:top w:w="28" w:type="dxa"/>
          <w:left w:w="108" w:type="dxa"/>
          <w:bottom w:w="240" w:type="dxa"/>
          <w:right w:w="108" w:type="dxa"/>
        </w:tblCellMar>
      </w:tblPr>
      <w:tblGrid>
        <w:gridCol w:w="3215"/>
        <w:gridCol w:w="1505"/>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br/>
            </w:r>
            <w:r>
              <w:rPr>
                <w:rFonts w:ascii="Times New Roman;Times;Serif" w:hAnsi="Times New Roman;Times;Serif"/>
                <w:sz w:val="20"/>
              </w:rPr>
              <w:t>(Jurisdiction of incorporation</w:t>
              <w:br/>
              <w:t>if not a U.S. national bank)</w:t>
            </w:r>
          </w:p>
        </w:tc>
        <w:tc>
          <w:tcPr>
            <w:tcW w:w="15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95-3571558</w:t>
              <w:br/>
              <w:t>(I.R.S. employer</w:t>
              <w:br/>
              <w:t>identification no.)</w:t>
            </w:r>
          </w:p>
        </w:tc>
      </w:tr>
      <w:tr>
        <w:trPr/>
        <w:tc>
          <w:tcPr>
            <w:tcW w:w="321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South Hope Street</w:t>
              <w:br/>
              <w:t>Suite 2525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br/>
              <w:br/>
              <w:t>90071</w:t>
              <w:b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Holdings, LLC</w:t>
        <w:br/>
        <w:t>(Exact name of obligor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720" w:type="dxa"/>
        <w:jc w:val="left"/>
        <w:tblInd w:w="-10" w:type="dxa"/>
        <w:tblLayout w:type="fixed"/>
        <w:tblCellMar>
          <w:top w:w="28" w:type="dxa"/>
          <w:left w:w="108" w:type="dxa"/>
          <w:bottom w:w="200" w:type="dxa"/>
          <w:right w:w="108" w:type="dxa"/>
        </w:tblCellMar>
      </w:tblPr>
      <w:tblGrid>
        <w:gridCol w:w="3215"/>
        <w:gridCol w:w="1505"/>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w:t>
              <w:br/>
              <w:t>(State or other jurisdiction of</w:t>
              <w:br/>
              <w:t>incorporation or organization)</w:t>
            </w:r>
          </w:p>
        </w:tc>
        <w:tc>
          <w:tcPr>
            <w:tcW w:w="15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86-1067239</w:t>
              <w:br/>
              <w:t>(I.R.S. employer</w:t>
              <w:br/>
              <w:t>identification no.)</w:t>
            </w:r>
          </w:p>
        </w:tc>
      </w:tr>
      <w:tr>
        <w:trP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rFonts w:ascii="Times New Roman;Times;Serif" w:hAnsi="Times New Roman;Times;Serif"/>
                <w:sz w:val="20"/>
              </w:rPr>
              <w:t>400 Washington Blvd.</w:t>
              <w:br/>
            </w:r>
            <w:r>
              <w:rPr>
                <w:sz w:val="20"/>
              </w:rPr>
              <w:t>Stamford, Connecticut</w:t>
              <w:br/>
              <w:t>(Address of principal executive offices)</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br/>
            </w:r>
            <w:r>
              <w:rPr>
                <w:rFonts w:ascii="Times New Roman;Times;Serif" w:hAnsi="Times New Roman;Times;Serif"/>
                <w:sz w:val="20"/>
              </w:rPr>
              <w:t>06902</w:t>
              <w:b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CCO Holdings Capital Corp.</w:t>
        <w:br/>
        <w:t>(Exact name of obligor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720" w:type="dxa"/>
        <w:jc w:val="left"/>
        <w:tblInd w:w="-10" w:type="dxa"/>
        <w:tblLayout w:type="fixed"/>
        <w:tblCellMar>
          <w:top w:w="28" w:type="dxa"/>
          <w:left w:w="108" w:type="dxa"/>
          <w:bottom w:w="240" w:type="dxa"/>
          <w:right w:w="108" w:type="dxa"/>
        </w:tblCellMar>
      </w:tblPr>
      <w:tblGrid>
        <w:gridCol w:w="3215"/>
        <w:gridCol w:w="1505"/>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w:t>
              <w:br/>
              <w:t>(State or other jurisdiction of</w:t>
              <w:br/>
              <w:t>incorporation or organization)</w:t>
            </w:r>
          </w:p>
        </w:tc>
        <w:tc>
          <w:tcPr>
            <w:tcW w:w="15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20-0257904</w:t>
              <w:br/>
              <w:t>(I.R.S. employer</w:t>
              <w:br/>
              <w:t>identification no.)</w:t>
            </w:r>
          </w:p>
        </w:tc>
      </w:tr>
      <w:tr>
        <w:trP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rFonts w:ascii="Times New Roman;Times;Serif" w:hAnsi="Times New Roman;Times;Serif"/>
                <w:sz w:val="20"/>
              </w:rPr>
              <w:t>400 Washington Blvd.</w:t>
              <w:br/>
            </w:r>
            <w:r>
              <w:rPr>
                <w:sz w:val="20"/>
              </w:rPr>
              <w:t>Stamford, Connecticut</w:t>
              <w:br/>
              <w:t>(Address of principal executive offices)</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br/>
            </w:r>
            <w:r>
              <w:rPr>
                <w:rFonts w:ascii="Times New Roman;Times;Serif" w:hAnsi="Times New Roman;Times;Serif"/>
                <w:sz w:val="20"/>
              </w:rPr>
              <w:t>06902</w:t>
              <w:b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 Communications,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720" w:type="dxa"/>
        <w:jc w:val="left"/>
        <w:tblInd w:w="-10" w:type="dxa"/>
        <w:tblLayout w:type="fixed"/>
        <w:tblCellMar>
          <w:top w:w="28" w:type="dxa"/>
          <w:left w:w="108" w:type="dxa"/>
          <w:bottom w:w="240" w:type="dxa"/>
          <w:right w:w="108" w:type="dxa"/>
        </w:tblCellMar>
      </w:tblPr>
      <w:tblGrid>
        <w:gridCol w:w="3215"/>
        <w:gridCol w:w="1505"/>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w:t>
              <w:br/>
              <w:t>(State or other jurisdiction of</w:t>
              <w:br/>
              <w:t>incorporation or organization)</w:t>
            </w:r>
          </w:p>
        </w:tc>
        <w:tc>
          <w:tcPr>
            <w:tcW w:w="15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84-1496755</w:t>
              <w:br/>
              <w:t>(I.R.S. employer</w:t>
              <w:br/>
              <w:t>identification no.)</w:t>
            </w:r>
          </w:p>
        </w:tc>
      </w:tr>
      <w:tr>
        <w:trP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rFonts w:ascii="Times New Roman;Times;Serif" w:hAnsi="Times New Roman;Times;Serif"/>
                <w:sz w:val="20"/>
              </w:rPr>
              <w:t>400 Washington Blvd.</w:t>
              <w:br/>
            </w:r>
            <w:r>
              <w:rPr>
                <w:sz w:val="20"/>
              </w:rPr>
              <w:t>Stamford, Connecticut</w:t>
              <w:br/>
              <w:t>(Address of principal executive offices)</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br/>
              <w:t>06902</w:t>
              <w:b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Additional Registrants</w:t>
      </w:r>
    </w:p>
    <w:p>
      <w:pPr>
        <w:pStyle w:val="TextBody"/>
        <w:bidi w:val="0"/>
        <w:spacing w:before="0" w:after="0"/>
        <w:ind w:left="0" w:right="0" w:hanging="0"/>
        <w:jc w:val="center"/>
        <w:rPr>
          <w:caps w:val="false"/>
          <w:smallCaps w:val="false"/>
        </w:rPr>
      </w:pPr>
      <w:r>
        <w:rPr>
          <w:caps w:val="false"/>
          <w:smallCaps w:val="false"/>
        </w:rPr>
        <w:t> </w:t>
      </w:r>
    </w:p>
    <w:tbl>
      <w:tblPr>
        <w:tblW w:w="7680" w:type="dxa"/>
        <w:jc w:val="left"/>
        <w:tblInd w:w="-10" w:type="dxa"/>
        <w:tblLayout w:type="fixed"/>
        <w:tblCellMar>
          <w:top w:w="28" w:type="dxa"/>
          <w:left w:w="108" w:type="dxa"/>
          <w:bottom w:w="240" w:type="dxa"/>
          <w:right w:w="108" w:type="dxa"/>
        </w:tblCellMar>
      </w:tblPr>
      <w:tblGrid>
        <w:gridCol w:w="5105"/>
        <w:gridCol w:w="1385"/>
        <w:gridCol w:w="1190"/>
      </w:tblGrid>
      <w:tr>
        <w:trPr/>
        <w:tc>
          <w:tcPr>
            <w:tcW w:w="51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Exact Name of Additional Registrant </w:t>
              <w:br/>
              <w:t>Guarantor as specified in its charter</w:t>
            </w:r>
          </w:p>
        </w:tc>
        <w:tc>
          <w:tcPr>
            <w:tcW w:w="138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Jurisdiction of</w:t>
              <w:br/>
              <w:t xml:space="preserve">Incorporation or </w:t>
              <w:br/>
              <w:t>Organization</w:t>
            </w:r>
          </w:p>
        </w:tc>
        <w:tc>
          <w:tcPr>
            <w:tcW w:w="119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 xml:space="preserve">Identification </w:t>
              <w:br/>
              <w:t>Number</w:t>
            </w:r>
          </w:p>
        </w:tc>
      </w:tr>
      <w:tr>
        <w:trPr/>
        <w:tc>
          <w:tcPr>
            <w:tcW w:w="5105" w:type="dxa"/>
            <w:tcBorders>
              <w:left w:val="single" w:sz="8" w:space="0" w:color="000000"/>
              <w:bottom w:val="single" w:sz="8" w:space="0" w:color="000000"/>
              <w:right w:val="single" w:sz="8" w:space="0" w:color="000000"/>
            </w:tcBorders>
            <w:tcMar>
              <w:top w:w="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BHN IP Enabled Services, LLC</w:t>
            </w:r>
          </w:p>
        </w:tc>
        <w:tc>
          <w:tcPr>
            <w:tcW w:w="138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99-1515245</w:t>
            </w:r>
          </w:p>
        </w:tc>
      </w:tr>
      <w:tr>
        <w:trPr/>
        <w:tc>
          <w:tcPr>
            <w:tcW w:w="5105" w:type="dxa"/>
            <w:tcBorders>
              <w:left w:val="single" w:sz="8" w:space="0" w:color="000000"/>
              <w:bottom w:val="single" w:sz="8" w:space="0" w:color="000000"/>
              <w:right w:val="single" w:sz="8" w:space="0" w:color="000000"/>
            </w:tcBorders>
            <w:tcMar>
              <w:top w:w="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Bresnan Broadband Holdings, LLC</w:t>
            </w:r>
          </w:p>
        </w:tc>
        <w:tc>
          <w:tcPr>
            <w:tcW w:w="138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13-4119839</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Bresnan Broadband of Colorado, LLC</w:t>
            </w:r>
          </w:p>
        </w:tc>
        <w:tc>
          <w:tcPr>
            <w:tcW w:w="138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Colorado</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35-2403834</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Bresnan Broadband of Montana, LLC</w:t>
            </w:r>
          </w:p>
        </w:tc>
        <w:tc>
          <w:tcPr>
            <w:tcW w:w="138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Montana</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32-0334681</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Bresnan Broadband of Wyoming, LLC</w:t>
            </w:r>
          </w:p>
        </w:tc>
        <w:tc>
          <w:tcPr>
            <w:tcW w:w="138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Wyoming</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61-1642737</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Bresnan Digital Services, LLC</w:t>
            </w:r>
          </w:p>
        </w:tc>
        <w:tc>
          <w:tcPr>
            <w:tcW w:w="138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38-3833973</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Bright House Networks Information Services (Alabama), LLC</w:t>
            </w:r>
          </w:p>
        </w:tc>
        <w:tc>
          <w:tcPr>
            <w:tcW w:w="138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20-1544201</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Bright House Networks Information Services (California), LLC</w:t>
            </w:r>
          </w:p>
        </w:tc>
        <w:tc>
          <w:tcPr>
            <w:tcW w:w="138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20-1544390</w:t>
            </w:r>
          </w:p>
        </w:tc>
      </w:tr>
      <w:tr>
        <w:trPr/>
        <w:tc>
          <w:tcPr>
            <w:tcW w:w="5105" w:type="dxa"/>
            <w:tcBorders>
              <w:left w:val="single" w:sz="8" w:space="0" w:color="000000"/>
              <w:bottom w:val="single" w:sz="8" w:space="0" w:color="000000"/>
              <w:right w:val="single" w:sz="8" w:space="0" w:color="000000"/>
            </w:tcBorders>
            <w:tcMar>
              <w:top w:w="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Bright House Networks Information Services (Florida), LLC</w:t>
            </w:r>
          </w:p>
        </w:tc>
        <w:tc>
          <w:tcPr>
            <w:tcW w:w="138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59-3758339</w:t>
            </w:r>
          </w:p>
        </w:tc>
      </w:tr>
      <w:tr>
        <w:trPr/>
        <w:tc>
          <w:tcPr>
            <w:tcW w:w="5105" w:type="dxa"/>
            <w:tcBorders>
              <w:left w:val="single" w:sz="8" w:space="0" w:color="000000"/>
              <w:bottom w:val="single" w:sz="8" w:space="0" w:color="000000"/>
              <w:right w:val="single" w:sz="8" w:space="0" w:color="000000"/>
            </w:tcBorders>
            <w:tcMar>
              <w:top w:w="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Bright House Networks Information Services (Indiana), LLC</w:t>
            </w:r>
          </w:p>
        </w:tc>
        <w:tc>
          <w:tcPr>
            <w:tcW w:w="138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20-1544486</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Bright House Networks Information Services (Michigan), LLC</w:t>
            </w:r>
          </w:p>
        </w:tc>
        <w:tc>
          <w:tcPr>
            <w:tcW w:w="138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20-1544302</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 Fiberlink, LLC</w:t>
            </w:r>
          </w:p>
        </w:tc>
        <w:tc>
          <w:tcPr>
            <w:tcW w:w="138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43-1928509</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 VI Fiberlink, LLC</w:t>
            </w:r>
          </w:p>
        </w:tc>
        <w:tc>
          <w:tcPr>
            <w:tcW w:w="138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20-0310684</w:t>
            </w:r>
          </w:p>
        </w:tc>
      </w:tr>
      <w:tr>
        <w:trPr/>
        <w:tc>
          <w:tcPr>
            <w:tcW w:w="5105" w:type="dxa"/>
            <w:tcBorders>
              <w:left w:val="single" w:sz="8" w:space="0" w:color="000000"/>
              <w:bottom w:val="single" w:sz="8" w:space="0" w:color="000000"/>
              <w:right w:val="single" w:sz="8" w:space="0" w:color="000000"/>
            </w:tcBorders>
            <w:tcMar>
              <w:top w:w="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 VII Fiberlink, LLC</w:t>
            </w:r>
          </w:p>
        </w:tc>
        <w:tc>
          <w:tcPr>
            <w:tcW w:w="138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20-0310704</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CCO Fiberlink, LLC</w:t>
            </w:r>
          </w:p>
        </w:tc>
        <w:tc>
          <w:tcPr>
            <w:tcW w:w="138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20-0310854</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CCO NR Holdings, LLC</w:t>
            </w:r>
          </w:p>
        </w:tc>
        <w:tc>
          <w:tcPr>
            <w:tcW w:w="138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86-1067241</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Communications ASC, LLC</w:t>
            </w:r>
          </w:p>
        </w:tc>
        <w:tc>
          <w:tcPr>
            <w:tcW w:w="138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93-4070587</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Communications SSC, LLC</w:t>
            </w:r>
          </w:p>
        </w:tc>
        <w:tc>
          <w:tcPr>
            <w:tcW w:w="138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93-4084052</w:t>
            </w:r>
          </w:p>
        </w:tc>
      </w:tr>
      <w:tr>
        <w:trPr/>
        <w:tc>
          <w:tcPr>
            <w:tcW w:w="51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Communications, LLC</w:t>
            </w:r>
          </w:p>
        </w:tc>
        <w:tc>
          <w:tcPr>
            <w:tcW w:w="138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43-1659860</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255" w:type="dxa"/>
        <w:jc w:val="left"/>
        <w:tblInd w:w="-10" w:type="dxa"/>
        <w:tblLayout w:type="fixed"/>
        <w:tblCellMar>
          <w:top w:w="28" w:type="dxa"/>
          <w:left w:w="108" w:type="dxa"/>
          <w:bottom w:w="0" w:type="dxa"/>
          <w:right w:w="108" w:type="dxa"/>
        </w:tblCellMar>
      </w:tblPr>
      <w:tblGrid>
        <w:gridCol w:w="4130"/>
        <w:gridCol w:w="935"/>
        <w:gridCol w:w="1190"/>
      </w:tblGrid>
      <w:tr>
        <w:trPr/>
        <w:tc>
          <w:tcPr>
            <w:tcW w:w="4130"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Communications VI, L.L.C.</w:t>
            </w:r>
          </w:p>
        </w:tc>
        <w:tc>
          <w:tcPr>
            <w:tcW w:w="935" w:type="dxa"/>
            <w:tcBorders>
              <w:top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top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43-1854208</w:t>
            </w:r>
          </w:p>
        </w:tc>
      </w:tr>
      <w:tr>
        <w:trPr/>
        <w:tc>
          <w:tcPr>
            <w:tcW w:w="4130" w:type="dxa"/>
            <w:tcBorders>
              <w:top w:val="single" w:sz="8" w:space="0" w:color="000000"/>
              <w:left w:val="single" w:sz="8" w:space="0" w:color="000000"/>
              <w:bottom w:val="single" w:sz="8" w:space="0" w:color="000000"/>
              <w:right w:val="single" w:sz="8" w:space="0" w:color="000000"/>
            </w:tcBorders>
            <w:tcMar>
              <w:bottom w:w="240" w:type="dxa"/>
            </w:tcMar>
            <w:vAlign w:val="center"/>
          </w:tcPr>
          <w:p>
            <w:pPr>
              <w:pStyle w:val="TableContents"/>
              <w:bidi w:val="0"/>
              <w:spacing w:before="0" w:after="283"/>
              <w:jc w:val="left"/>
              <w:rPr/>
            </w:pPr>
            <w:r>
              <w:rPr/>
              <w:t>Charter Communications VI HoldCo, LLC</w:t>
            </w:r>
          </w:p>
        </w:tc>
        <w:tc>
          <w:tcPr>
            <w:tcW w:w="935" w:type="dxa"/>
            <w:tcBorders>
              <w:top w:val="single" w:sz="8" w:space="0" w:color="000000"/>
              <w:bottom w:val="single" w:sz="8" w:space="0" w:color="000000"/>
              <w:right w:val="single" w:sz="8" w:space="0" w:color="000000"/>
            </w:tcBorders>
            <w:tcMar>
              <w:left w:w="0" w:type="dxa"/>
              <w:bottom w:w="240" w:type="dxa"/>
              <w:right w:w="28" w:type="dxa"/>
            </w:tcMar>
            <w:vAlign w:val="center"/>
          </w:tcPr>
          <w:p>
            <w:pPr>
              <w:pStyle w:val="TableContents"/>
              <w:bidi w:val="0"/>
              <w:spacing w:before="0" w:after="283"/>
              <w:jc w:val="center"/>
              <w:rPr/>
            </w:pPr>
            <w:r>
              <w:rPr/>
              <w:t>Delaware</w:t>
            </w:r>
          </w:p>
        </w:tc>
        <w:tc>
          <w:tcPr>
            <w:tcW w:w="1190" w:type="dxa"/>
            <w:tcBorders>
              <w:top w:val="single" w:sz="8" w:space="0" w:color="000000"/>
              <w:bottom w:val="single" w:sz="8" w:space="0" w:color="000000"/>
              <w:right w:val="single" w:sz="8" w:space="0" w:color="000000"/>
            </w:tcBorders>
            <w:tcMar>
              <w:left w:w="0" w:type="dxa"/>
              <w:bottom w:w="240" w:type="dxa"/>
              <w:right w:w="28" w:type="dxa"/>
            </w:tcMar>
            <w:vAlign w:val="center"/>
          </w:tcPr>
          <w:p>
            <w:pPr>
              <w:pStyle w:val="TableContents"/>
              <w:bidi w:val="0"/>
              <w:spacing w:before="0" w:after="283"/>
              <w:jc w:val="center"/>
              <w:rPr/>
            </w:pPr>
            <w:r>
              <w:rPr/>
              <w:t>75-2775560</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Distribution,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74-3089287</w:t>
            </w:r>
          </w:p>
        </w:tc>
      </w:tr>
      <w:tr>
        <w:trPr/>
        <w:tc>
          <w:tcPr>
            <w:tcW w:w="4130" w:type="dxa"/>
            <w:tcBorders>
              <w:left w:val="single" w:sz="8" w:space="0" w:color="000000"/>
              <w:bottom w:val="single" w:sz="8" w:space="0" w:color="000000"/>
              <w:right w:val="single" w:sz="8" w:space="0" w:color="000000"/>
            </w:tcBorders>
            <w:tcMar>
              <w:top w:w="0" w:type="dxa"/>
              <w:bottom w:w="24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 Alabama,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20-0193389</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 Georgia,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20-0193674</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 Illinois,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43-1943035</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 Maryland II,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81-2255084</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 Michigan,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43-1875389</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 Missouri,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43-1928511</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 Nebraska,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81-0547765</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 Tennessee,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20-0193707</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CA-CCO,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43-1943040</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CC VIII,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43-1793439</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CCO,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43-1876029</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CT-CCO,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20-0339366</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LA-CCO,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20-0709283</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MA-CCO,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20-0258357</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MS-CCVI,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20-0709405</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NC-CCO,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20-0258604</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NH-CCO,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20-0709514</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NV-CCVII,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20-0474139</w:t>
            </w:r>
          </w:p>
        </w:tc>
      </w:tr>
      <w:tr>
        <w:trPr/>
        <w:tc>
          <w:tcPr>
            <w:tcW w:w="4130" w:type="dxa"/>
            <w:tcBorders>
              <w:left w:val="single" w:sz="8" w:space="0" w:color="000000"/>
              <w:bottom w:val="single" w:sz="8" w:space="0" w:color="000000"/>
              <w:right w:val="single" w:sz="8" w:space="0" w:color="000000"/>
            </w:tcBorders>
            <w:tcMar>
              <w:top w:w="0" w:type="dxa"/>
              <w:bottom w:w="24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NY-CCO,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20-0426827</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OR-CCVII,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20-0474232</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SC-CCO,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43-1943037</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TX-CCO,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43-1943038</w:t>
            </w:r>
          </w:p>
        </w:tc>
      </w:tr>
      <w:tr>
        <w:trPr/>
        <w:tc>
          <w:tcPr>
            <w:tcW w:w="4130" w:type="dxa"/>
            <w:tcBorders>
              <w:left w:val="single" w:sz="8" w:space="0" w:color="000000"/>
              <w:bottom w:val="single" w:sz="8" w:space="0" w:color="000000"/>
              <w:right w:val="single" w:sz="8" w:space="0" w:color="000000"/>
            </w:tcBorders>
            <w:tcMar>
              <w:top w:w="0" w:type="dxa"/>
              <w:bottom w:w="24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VA-CCO, LLC</w:t>
            </w:r>
          </w:p>
        </w:tc>
        <w:tc>
          <w:tcPr>
            <w:tcW w:w="935"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190" w:type="dxa"/>
            <w:tcBorders>
              <w:bottom w:val="single" w:sz="8" w:space="0" w:color="000000"/>
              <w:right w:val="single" w:sz="8" w:space="0" w:color="000000"/>
            </w:tcBorders>
            <w:tcMar>
              <w:top w:w="0" w:type="dxa"/>
              <w:left w:w="0" w:type="dxa"/>
              <w:bottom w:w="24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20-0709822</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160" w:type="dxa"/>
        <w:jc w:val="left"/>
        <w:tblInd w:w="-10" w:type="dxa"/>
        <w:tblLayout w:type="fixed"/>
        <w:tblCellMar>
          <w:top w:w="28" w:type="dxa"/>
          <w:left w:w="108" w:type="dxa"/>
          <w:bottom w:w="240" w:type="dxa"/>
          <w:right w:w="108" w:type="dxa"/>
        </w:tblCellMar>
      </w:tblPr>
      <w:tblGrid>
        <w:gridCol w:w="3350"/>
        <w:gridCol w:w="770"/>
        <w:gridCol w:w="1040"/>
      </w:tblGrid>
      <w:tr>
        <w:trPr/>
        <w:tc>
          <w:tcPr>
            <w:tcW w:w="33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VT-CCO, LLC</w:t>
            </w:r>
          </w:p>
        </w:tc>
        <w:tc>
          <w:tcPr>
            <w:tcW w:w="77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20-0258644</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Fiberlink WA-CCVII,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20-0474261</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IP Enabled Services,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92-3313105</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Leasing Holding Company,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47-4669203</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Charter Procurement Leasing,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47-4657690</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DukeNet Communications,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27-2985707</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Innovar Media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46-5437739</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Advanced Services,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26-0354307</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Fiberlink Florida,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84-4375530</w:t>
            </w:r>
          </w:p>
        </w:tc>
      </w:tr>
      <w:tr>
        <w:trPr/>
        <w:tc>
          <w:tcPr>
            <w:tcW w:w="3350" w:type="dxa"/>
            <w:tcBorders>
              <w:left w:val="single" w:sz="8" w:space="0" w:color="000000"/>
              <w:bottom w:val="single" w:sz="8" w:space="0" w:color="000000"/>
              <w:right w:val="single" w:sz="8" w:space="0" w:color="000000"/>
            </w:tcBorders>
            <w:tcMar>
              <w:top w:w="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Gulf Coast,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45-4608769</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Mid-America,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45-4593320</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Mobile Equipment,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82-3887201</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Mobile,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82-2492552</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New York Metro,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45-4593291</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NLP,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45-1560311</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Northeast,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45-4593341</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Oceanic,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45-4593273</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Originals Development,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83-1623014</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Originals,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82-3414467</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Pacific West,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45-4593361</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Reach,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27-4633156</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RSN,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83-1611206</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SN,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93-1943164</w:t>
            </w:r>
          </w:p>
        </w:tc>
      </w:tr>
      <w:tr>
        <w:trPr/>
        <w:tc>
          <w:tcPr>
            <w:tcW w:w="33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Southeast,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45-4608839</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- 5 -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945" w:type="dxa"/>
        <w:jc w:val="left"/>
        <w:tblInd w:w="-10" w:type="dxa"/>
        <w:tblLayout w:type="fixed"/>
        <w:tblCellMar>
          <w:top w:w="28" w:type="dxa"/>
          <w:left w:w="108" w:type="dxa"/>
          <w:bottom w:w="240" w:type="dxa"/>
          <w:right w:w="108" w:type="dxa"/>
        </w:tblCellMar>
      </w:tblPr>
      <w:tblGrid>
        <w:gridCol w:w="5135"/>
        <w:gridCol w:w="770"/>
        <w:gridCol w:w="1040"/>
      </w:tblGrid>
      <w:tr>
        <w:trPr/>
        <w:tc>
          <w:tcPr>
            <w:tcW w:w="51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SportsNet, LLC</w:t>
            </w:r>
          </w:p>
        </w:tc>
        <w:tc>
          <w:tcPr>
            <w:tcW w:w="77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93-1958585</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Sunshine State,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02-0636401</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TV Essentials,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83-4704194</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Spectrum Wireless Holdings,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83-1856732</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Business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35-2466312</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Enterprises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45-4854395</w:t>
            </w:r>
          </w:p>
        </w:tc>
      </w:tr>
      <w:tr>
        <w:trPr/>
        <w:tc>
          <w:tcPr>
            <w:tcW w:w="5135" w:type="dxa"/>
            <w:tcBorders>
              <w:left w:val="single" w:sz="8" w:space="0" w:color="000000"/>
              <w:bottom w:val="single" w:sz="8" w:space="0" w:color="000000"/>
              <w:right w:val="single" w:sz="8" w:space="0" w:color="000000"/>
            </w:tcBorders>
            <w:tcMar>
              <w:top w:w="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(Alabama),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20-0639409</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(Arizona),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20-4370232</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(California),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20-0162970</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(Colorado),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26-2375439</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(Hawaii),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20-0162993</w:t>
            </w:r>
          </w:p>
        </w:tc>
      </w:tr>
      <w:tr>
        <w:trPr/>
        <w:tc>
          <w:tcPr>
            <w:tcW w:w="5135" w:type="dxa"/>
            <w:tcBorders>
              <w:left w:val="single" w:sz="8" w:space="0" w:color="000000"/>
              <w:bottom w:val="single" w:sz="8" w:space="0" w:color="000000"/>
              <w:right w:val="single" w:sz="8" w:space="0" w:color="000000"/>
            </w:tcBorders>
            <w:tcMar>
              <w:top w:w="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(Idaho),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20-8254896</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(Illinois),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26-2375576</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(Indiana),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20-1618562</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(Kansas),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20-0163009</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(Kentucky),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20-4370430</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(Maine),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48-1296576</w:t>
            </w:r>
          </w:p>
        </w:tc>
      </w:tr>
      <w:tr>
        <w:trPr/>
        <w:tc>
          <w:tcPr>
            <w:tcW w:w="5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(Massachusetts),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20-0639517</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- 6 -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050" w:type="dxa"/>
        <w:jc w:val="left"/>
        <w:tblInd w:w="-10" w:type="dxa"/>
        <w:tblLayout w:type="fixed"/>
        <w:tblCellMar>
          <w:top w:w="28" w:type="dxa"/>
          <w:left w:w="108" w:type="dxa"/>
          <w:bottom w:w="240" w:type="dxa"/>
          <w:right w:w="183" w:type="dxa"/>
        </w:tblCellMar>
      </w:tblPr>
      <w:tblGrid>
        <w:gridCol w:w="5240"/>
        <w:gridCol w:w="770"/>
        <w:gridCol w:w="1040"/>
      </w:tblGrid>
      <w:tr>
        <w:trPr/>
        <w:tc>
          <w:tcPr>
            <w:tcW w:w="52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(Michigan), LLC</w:t>
            </w:r>
          </w:p>
        </w:tc>
        <w:tc>
          <w:tcPr>
            <w:tcW w:w="77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26-2376102</w:t>
            </w:r>
          </w:p>
        </w:tc>
      </w:tr>
      <w:tr>
        <w:trPr/>
        <w:tc>
          <w:tcPr>
            <w:tcW w:w="52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(Missouri),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20-0163031</w:t>
            </w:r>
          </w:p>
        </w:tc>
      </w:tr>
      <w:tr>
        <w:trPr/>
        <w:tc>
          <w:tcPr>
            <w:tcW w:w="52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(Nebraska),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20-0597251</w:t>
            </w:r>
          </w:p>
        </w:tc>
      </w:tr>
      <w:tr>
        <w:trPr/>
        <w:tc>
          <w:tcPr>
            <w:tcW w:w="52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(New Hampshire),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20-0834759</w:t>
            </w:r>
          </w:p>
        </w:tc>
      </w:tr>
      <w:tr>
        <w:trPr/>
        <w:tc>
          <w:tcPr>
            <w:tcW w:w="52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(New Jersey),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20-0605091</w:t>
            </w:r>
          </w:p>
        </w:tc>
      </w:tr>
      <w:tr>
        <w:trPr/>
        <w:tc>
          <w:tcPr>
            <w:tcW w:w="52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(New Mexico),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20-8244978</w:t>
            </w:r>
          </w:p>
        </w:tc>
      </w:tr>
      <w:tr>
        <w:trPr/>
        <w:tc>
          <w:tcPr>
            <w:tcW w:w="52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(New York),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06-1530234</w:t>
            </w:r>
          </w:p>
        </w:tc>
      </w:tr>
      <w:tr>
        <w:trPr/>
        <w:tc>
          <w:tcPr>
            <w:tcW w:w="52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(North Carolina),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05-0563203</w:t>
            </w:r>
          </w:p>
        </w:tc>
      </w:tr>
      <w:tr>
        <w:trPr/>
        <w:tc>
          <w:tcPr>
            <w:tcW w:w="52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(Ohio),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20-0163449</w:t>
            </w:r>
          </w:p>
        </w:tc>
      </w:tr>
      <w:tr>
        <w:trPr/>
        <w:tc>
          <w:tcPr>
            <w:tcW w:w="52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(Pennsylvania),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20-0639607</w:t>
            </w:r>
          </w:p>
        </w:tc>
      </w:tr>
      <w:tr>
        <w:trPr/>
        <w:tc>
          <w:tcPr>
            <w:tcW w:w="52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(South Carolina),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20-0163480</w:t>
            </w:r>
          </w:p>
        </w:tc>
      </w:tr>
      <w:tr>
        <w:trPr/>
        <w:tc>
          <w:tcPr>
            <w:tcW w:w="52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(Tennessee),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20-0639795</w:t>
            </w:r>
          </w:p>
        </w:tc>
      </w:tr>
      <w:tr>
        <w:trPr/>
        <w:tc>
          <w:tcPr>
            <w:tcW w:w="52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(Texas),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20-0095157</w:t>
            </w:r>
          </w:p>
        </w:tc>
      </w:tr>
      <w:tr>
        <w:trPr/>
        <w:tc>
          <w:tcPr>
            <w:tcW w:w="52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(Virginia),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20-4370738</w:t>
            </w:r>
          </w:p>
        </w:tc>
      </w:tr>
      <w:tr>
        <w:trPr/>
        <w:tc>
          <w:tcPr>
            <w:tcW w:w="5240" w:type="dxa"/>
            <w:tcBorders>
              <w:left w:val="single" w:sz="8" w:space="0" w:color="000000"/>
              <w:bottom w:val="single" w:sz="8" w:space="0" w:color="000000"/>
              <w:right w:val="single" w:sz="8" w:space="0" w:color="000000"/>
            </w:tcBorders>
            <w:tcMar>
              <w:top w:w="0" w:type="dxa"/>
              <w:right w:w="10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(Washington),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20-5690377</w:t>
            </w:r>
          </w:p>
        </w:tc>
      </w:tr>
      <w:tr>
        <w:trPr/>
        <w:tc>
          <w:tcPr>
            <w:tcW w:w="52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(West Virginia),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20-1620308</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- 7 -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6630" w:type="dxa"/>
        <w:jc w:val="left"/>
        <w:tblInd w:w="-10" w:type="dxa"/>
        <w:tblLayout w:type="fixed"/>
        <w:tblCellMar>
          <w:top w:w="28" w:type="dxa"/>
          <w:left w:w="108" w:type="dxa"/>
          <w:bottom w:w="240" w:type="dxa"/>
          <w:right w:w="108" w:type="dxa"/>
        </w:tblCellMar>
      </w:tblPr>
      <w:tblGrid>
        <w:gridCol w:w="4820"/>
        <w:gridCol w:w="770"/>
        <w:gridCol w:w="1040"/>
      </w:tblGrid>
      <w:tr>
        <w:trPr/>
        <w:tc>
          <w:tcPr>
            <w:tcW w:w="48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Information Services (Wisconsin), LLC</w:t>
            </w:r>
          </w:p>
        </w:tc>
        <w:tc>
          <w:tcPr>
            <w:tcW w:w="77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20-0163685</w:t>
            </w:r>
          </w:p>
        </w:tc>
      </w:tr>
      <w:tr>
        <w:trPr/>
        <w:tc>
          <w:tcPr>
            <w:tcW w:w="48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Warner Cable,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81-2545593</w:t>
            </w:r>
          </w:p>
        </w:tc>
      </w:tr>
      <w:tr>
        <w:trPr/>
        <w:tc>
          <w:tcPr>
            <w:tcW w:w="48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TWC Administration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90-0882471</w:t>
            </w:r>
          </w:p>
        </w:tc>
      </w:tr>
      <w:tr>
        <w:trPr/>
        <w:tc>
          <w:tcPr>
            <w:tcW w:w="4820" w:type="dxa"/>
            <w:tcBorders>
              <w:left w:val="single" w:sz="8" w:space="0" w:color="000000"/>
              <w:bottom w:val="single" w:sz="8" w:space="0" w:color="000000"/>
              <w:right w:val="single" w:sz="8" w:space="0" w:color="000000"/>
            </w:tcBorders>
            <w:tcMar>
              <w:top w:w="0" w:type="dxa"/>
              <w:right w:w="183"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TWC Communications,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35-2205910</w:t>
            </w:r>
          </w:p>
        </w:tc>
      </w:tr>
      <w:tr>
        <w:trPr/>
        <w:tc>
          <w:tcPr>
            <w:tcW w:w="48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TWC IP Enabled Services,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92-3326637</w:t>
            </w:r>
          </w:p>
        </w:tc>
      </w:tr>
      <w:tr>
        <w:trPr/>
        <w:tc>
          <w:tcPr>
            <w:tcW w:w="48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TWC SEE Holdco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20-5421447</w:t>
            </w:r>
          </w:p>
        </w:tc>
      </w:tr>
      <w:tr>
        <w:trPr/>
        <w:tc>
          <w:tcPr>
            <w:tcW w:w="48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TWCIS Holdco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27-3481972</w:t>
            </w:r>
          </w:p>
        </w:tc>
      </w:tr>
      <w:tr>
        <w:trPr/>
        <w:tc>
          <w:tcPr>
            <w:tcW w:w="48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Visual Advertising Sales Technology, LLC</w:t>
            </w:r>
          </w:p>
        </w:tc>
        <w:tc>
          <w:tcPr>
            <w:tcW w:w="77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1040"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68-0470452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w:t>
        <w:br/>
        <w:t>and Guarantees of Debt Securities</w:t>
        <w:br/>
        <w:t>(Title of the indenture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sz w:val="20"/>
          <w:bdr w:val="single" w:sz="8" w:space="1" w:color="000000"/>
        </w:rPr>
      </w:pPr>
      <w:r>
        <w:rPr>
          <w:sz w:val="20"/>
          <w:bdr w:val="single" w:sz="8" w:space="1" w:color="000000"/>
        </w:rPr>
        <w:t>- 8 -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200"/>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7385" w:type="dxa"/>
            <w:tcBorders/>
            <w:vAlign w:val="center"/>
          </w:tcPr>
          <w:p>
            <w:pPr>
              <w:pStyle w:val="TableContents"/>
              <w:bidi w:val="0"/>
              <w:spacing w:before="0" w:after="283"/>
              <w:jc w:val="both"/>
              <w:rPr>
                <w:b/>
              </w:rPr>
            </w:pPr>
            <w:r>
              <w:rPr>
                <w:b/>
              </w:rPr>
              <w:t>General information. Furnish the following information as to the trustee: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6"/>
        <w:gridCol w:w="9826"/>
      </w:tblGrid>
      <w:tr>
        <w:trPr/>
        <w:tc>
          <w:tcPr>
            <w:tcW w:w="4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b/>
              </w:rPr>
            </w:pPr>
            <w:r>
              <w:rPr>
                <w:b/>
              </w:rPr>
              <w:t>(a)</w:t>
            </w:r>
          </w:p>
        </w:tc>
        <w:tc>
          <w:tcPr>
            <w:tcW w:w="9826" w:type="dxa"/>
            <w:tcBorders/>
            <w:vAlign w:val="center"/>
          </w:tcPr>
          <w:p>
            <w:pPr>
              <w:pStyle w:val="TableContents"/>
              <w:bidi w:val="0"/>
              <w:spacing w:before="0" w:after="283"/>
              <w:jc w:val="both"/>
              <w:rPr>
                <w:b/>
              </w:rPr>
            </w:pPr>
            <w:r>
              <w:rPr>
                <w:b/>
              </w:rPr>
              <w:t>Name and address of each examining or supervising authority to which it is subject.</w:t>
            </w:r>
          </w:p>
        </w:tc>
      </w:tr>
    </w:tbl>
    <w:p>
      <w:pPr>
        <w:pStyle w:val="TextBody"/>
        <w:bidi w:val="0"/>
        <w:spacing w:before="0" w:after="0"/>
        <w:jc w:val="left"/>
        <w:rPr>
          <w:caps w:val="false"/>
          <w:smallCaps w:val="false"/>
        </w:rPr>
      </w:pPr>
      <w:r>
        <w:rPr>
          <w:caps w:val="false"/>
          <w:smallCaps w:val="false"/>
        </w:rPr>
        <w:t> </w:t>
      </w:r>
    </w:p>
    <w:tbl>
      <w:tblPr>
        <w:tblW w:w="5515" w:type="dxa"/>
        <w:jc w:val="left"/>
        <w:tblInd w:w="0" w:type="dxa"/>
        <w:tblLayout w:type="fixed"/>
        <w:tblCellMar>
          <w:top w:w="28" w:type="dxa"/>
          <w:left w:w="0" w:type="dxa"/>
          <w:bottom w:w="28" w:type="dxa"/>
          <w:right w:w="0" w:type="dxa"/>
        </w:tblCellMar>
      </w:tblPr>
      <w:tblGrid>
        <w:gridCol w:w="3365"/>
        <w:gridCol w:w="60"/>
        <w:gridCol w:w="2090"/>
      </w:tblGrid>
      <w:tr>
        <w:trPr/>
        <w:tc>
          <w:tcPr>
            <w:tcW w:w="3365" w:type="dxa"/>
            <w:tcBorders>
              <w:top w:val="single" w:sz="8" w:space="0" w:color="000000"/>
              <w:bottom w:val="single" w:sz="8" w:space="0" w:color="000000"/>
            </w:tcBorders>
            <w:vAlign w:val="center"/>
          </w:tcPr>
          <w:p>
            <w:pPr>
              <w:pStyle w:val="TableContents"/>
              <w:bidi w:val="0"/>
              <w:spacing w:before="0" w:after="283"/>
              <w:jc w:val="center"/>
              <w:rPr>
                <w:sz w:val="20"/>
              </w:rPr>
            </w:pPr>
            <w:r>
              <w:rPr>
                <w:sz w:val="20"/>
              </w:rPr>
              <w:t>Name</w:t>
            </w:r>
          </w:p>
        </w:tc>
        <w:tc>
          <w:tcPr>
            <w:tcW w:w="60" w:type="dxa"/>
            <w:tcBorders/>
            <w:tcMar>
              <w:top w:w="0" w:type="dxa"/>
              <w:bottom w:w="0" w:type="dxa"/>
            </w:tcMar>
            <w:vAlign w:val="center"/>
          </w:tcPr>
          <w:p>
            <w:pPr>
              <w:pStyle w:val="TableContents"/>
              <w:bidi w:val="0"/>
              <w:spacing w:before="0" w:after="283"/>
              <w:jc w:val="left"/>
              <w:rPr/>
            </w:pPr>
            <w:r>
              <w:rPr/>
              <w:t> </w:t>
            </w:r>
          </w:p>
        </w:tc>
        <w:tc>
          <w:tcPr>
            <w:tcW w:w="2090" w:type="dxa"/>
            <w:tcBorders>
              <w:top w:val="single" w:sz="8" w:space="0" w:color="000000"/>
              <w:bottom w:val="single" w:sz="8" w:space="0" w:color="000000"/>
            </w:tcBorders>
            <w:vAlign w:val="center"/>
          </w:tcPr>
          <w:p>
            <w:pPr>
              <w:pStyle w:val="TableContents"/>
              <w:bidi w:val="0"/>
              <w:spacing w:before="0" w:after="283"/>
              <w:jc w:val="center"/>
              <w:rPr>
                <w:sz w:val="20"/>
              </w:rPr>
            </w:pPr>
            <w:r>
              <w:rPr>
                <w:sz w:val="20"/>
              </w:rPr>
              <w:t>Address</w:t>
            </w:r>
          </w:p>
        </w:tc>
      </w:tr>
      <w:tr>
        <w:trPr/>
        <w:tc>
          <w:tcPr>
            <w:tcW w:w="3365"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Comptroller of the Currency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Department of the Treasury</w:t>
            </w:r>
          </w:p>
        </w:tc>
        <w:tc>
          <w:tcPr>
            <w:tcW w:w="60" w:type="dxa"/>
            <w:tcBorders/>
            <w:tcMar>
              <w:top w:w="0" w:type="dxa"/>
              <w:bottom w:w="0" w:type="dxa"/>
            </w:tcMar>
            <w:vAlign w:val="center"/>
          </w:tcPr>
          <w:p>
            <w:pPr>
              <w:pStyle w:val="TableContents"/>
              <w:bidi w:val="0"/>
              <w:spacing w:before="0" w:after="283"/>
              <w:jc w:val="left"/>
              <w:rPr/>
            </w:pPr>
            <w:r>
              <w:rPr/>
              <w:t> </w:t>
            </w:r>
          </w:p>
        </w:tc>
        <w:tc>
          <w:tcPr>
            <w:tcW w:w="2090" w:type="dxa"/>
            <w:tcBorders/>
            <w:tcMar>
              <w:top w:w="0" w:type="dxa"/>
              <w:bottom w:w="0" w:type="dxa"/>
            </w:tcMar>
            <w:vAlign w:val="center"/>
          </w:tcPr>
          <w:p>
            <w:pPr>
              <w:pStyle w:val="TableContents"/>
              <w:bidi w:val="0"/>
              <w:spacing w:before="0" w:after="283"/>
              <w:jc w:val="left"/>
              <w:rPr>
                <w:sz w:val="20"/>
              </w:rPr>
            </w:pPr>
            <w:r>
              <w:rPr>
                <w:sz w:val="20"/>
              </w:rPr>
              <w:t>Washington, DC 20219</w:t>
            </w:r>
          </w:p>
        </w:tc>
      </w:tr>
      <w:tr>
        <w:trPr/>
        <w:tc>
          <w:tcPr>
            <w:tcW w:w="336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2090" w:type="dxa"/>
            <w:tcBorders/>
            <w:tcMar>
              <w:top w:w="0" w:type="dxa"/>
              <w:bottom w:w="0" w:type="dxa"/>
            </w:tcMar>
            <w:vAlign w:val="center"/>
          </w:tcPr>
          <w:p>
            <w:pPr>
              <w:pStyle w:val="TableContents"/>
              <w:bidi w:val="0"/>
              <w:spacing w:before="0" w:after="283"/>
              <w:jc w:val="left"/>
              <w:rPr/>
            </w:pPr>
            <w:r>
              <w:rPr/>
              <w:t> </w:t>
            </w:r>
          </w:p>
        </w:tc>
      </w:tr>
      <w:tr>
        <w:trPr/>
        <w:tc>
          <w:tcPr>
            <w:tcW w:w="3365" w:type="dxa"/>
            <w:tcBorders/>
            <w:tcMar>
              <w:top w:w="0" w:type="dxa"/>
              <w:bottom w:w="0" w:type="dxa"/>
            </w:tcMar>
            <w:vAlign w:val="center"/>
          </w:tcPr>
          <w:p>
            <w:pPr>
              <w:pStyle w:val="TableContents"/>
              <w:bidi w:val="0"/>
              <w:spacing w:before="0" w:after="283"/>
              <w:jc w:val="left"/>
              <w:rPr>
                <w:sz w:val="20"/>
              </w:rPr>
            </w:pPr>
            <w:r>
              <w:rPr>
                <w:sz w:val="20"/>
              </w:rPr>
              <w:t>Federal Reserve Bank</w:t>
            </w:r>
          </w:p>
        </w:tc>
        <w:tc>
          <w:tcPr>
            <w:tcW w:w="60" w:type="dxa"/>
            <w:tcBorders/>
            <w:tcMar>
              <w:top w:w="0" w:type="dxa"/>
              <w:bottom w:w="0" w:type="dxa"/>
            </w:tcMar>
            <w:vAlign w:val="center"/>
          </w:tcPr>
          <w:p>
            <w:pPr>
              <w:pStyle w:val="TableContents"/>
              <w:bidi w:val="0"/>
              <w:spacing w:before="0" w:after="283"/>
              <w:jc w:val="left"/>
              <w:rPr/>
            </w:pPr>
            <w:r>
              <w:rPr/>
              <w:t> </w:t>
            </w:r>
          </w:p>
        </w:tc>
        <w:tc>
          <w:tcPr>
            <w:tcW w:w="2090"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94105</w:t>
            </w:r>
          </w:p>
        </w:tc>
      </w:tr>
      <w:tr>
        <w:trPr/>
        <w:tc>
          <w:tcPr>
            <w:tcW w:w="336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2090" w:type="dxa"/>
            <w:tcBorders/>
            <w:tcMar>
              <w:top w:w="0" w:type="dxa"/>
              <w:bottom w:w="0" w:type="dxa"/>
            </w:tcMar>
            <w:vAlign w:val="center"/>
          </w:tcPr>
          <w:p>
            <w:pPr>
              <w:pStyle w:val="TableContents"/>
              <w:bidi w:val="0"/>
              <w:spacing w:before="0" w:after="283"/>
              <w:jc w:val="left"/>
              <w:rPr/>
            </w:pPr>
            <w:r>
              <w:rPr/>
              <w:t> </w:t>
            </w:r>
          </w:p>
        </w:tc>
      </w:tr>
      <w:tr>
        <w:trPr/>
        <w:tc>
          <w:tcPr>
            <w:tcW w:w="3365" w:type="dxa"/>
            <w:tcBorders/>
            <w:tcMar>
              <w:top w:w="0" w:type="dxa"/>
              <w:bottom w:w="0" w:type="dxa"/>
            </w:tcMar>
            <w:vAlign w:val="center"/>
          </w:tcPr>
          <w:p>
            <w:pPr>
              <w:pStyle w:val="TableContents"/>
              <w:bidi w:val="0"/>
              <w:spacing w:before="0" w:after="283"/>
              <w:jc w:val="left"/>
              <w:rPr>
                <w:sz w:val="20"/>
              </w:rPr>
            </w:pPr>
            <w:r>
              <w:rPr>
                <w:sz w:val="20"/>
              </w:rPr>
              <w:t>Federal Deposit Insurance Corporation</w:t>
            </w:r>
          </w:p>
        </w:tc>
        <w:tc>
          <w:tcPr>
            <w:tcW w:w="60" w:type="dxa"/>
            <w:tcBorders/>
            <w:tcMar>
              <w:top w:w="0" w:type="dxa"/>
              <w:bottom w:w="0" w:type="dxa"/>
            </w:tcMar>
            <w:vAlign w:val="center"/>
          </w:tcPr>
          <w:p>
            <w:pPr>
              <w:pStyle w:val="TableContents"/>
              <w:bidi w:val="0"/>
              <w:spacing w:before="0" w:after="283"/>
              <w:jc w:val="left"/>
              <w:rPr/>
            </w:pPr>
            <w:r>
              <w:rPr/>
              <w:t> </w:t>
            </w:r>
          </w:p>
        </w:tc>
        <w:tc>
          <w:tcPr>
            <w:tcW w:w="2090" w:type="dxa"/>
            <w:tcBorders/>
            <w:tcMar>
              <w:top w:w="0" w:type="dxa"/>
              <w:bottom w:w="0" w:type="dxa"/>
            </w:tcMar>
            <w:vAlign w:val="center"/>
          </w:tcPr>
          <w:p>
            <w:pPr>
              <w:pStyle w:val="TableContents"/>
              <w:bidi w:val="0"/>
              <w:spacing w:before="0" w:after="283"/>
              <w:jc w:val="left"/>
              <w:rPr>
                <w:sz w:val="20"/>
              </w:rPr>
            </w:pPr>
            <w:r>
              <w:rPr>
                <w:sz w:val="20"/>
              </w:rPr>
              <w:t>Washington, DC 20429</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87"/>
        <w:gridCol w:w="9658"/>
      </w:tblGrid>
      <w:tr>
        <w:trPr/>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b/>
              </w:rPr>
            </w:pPr>
            <w:r>
              <w:rPr>
                <w:b/>
              </w:rPr>
              <w:t>(b)</w:t>
            </w:r>
          </w:p>
        </w:tc>
        <w:tc>
          <w:tcPr>
            <w:tcW w:w="9658" w:type="dxa"/>
            <w:tcBorders/>
            <w:vAlign w:val="center"/>
          </w:tcPr>
          <w:p>
            <w:pPr>
              <w:pStyle w:val="TableContents"/>
              <w:bidi w:val="0"/>
              <w:spacing w:before="0" w:after="283"/>
              <w:jc w:val="both"/>
              <w:rPr>
                <w:b/>
              </w:rPr>
            </w:pPr>
            <w:r>
              <w:rPr>
                <w:b/>
              </w:rPr>
              <w:t>Whether it is authorized to exercise corporate trust powers.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731"/>
        <w:gridCol w:w="9336"/>
      </w:tblGrid>
      <w:tr>
        <w:trPr/>
        <w:tc>
          <w:tcPr>
            <w:tcW w:w="13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b/>
              </w:rPr>
            </w:pPr>
            <w:r>
              <w:rPr>
                <w:b/>
              </w:rPr>
              <w:t>2.</w:t>
            </w:r>
          </w:p>
        </w:tc>
        <w:tc>
          <w:tcPr>
            <w:tcW w:w="9336" w:type="dxa"/>
            <w:tcBorders/>
            <w:vAlign w:val="center"/>
          </w:tcPr>
          <w:p>
            <w:pPr>
              <w:pStyle w:val="TableContents"/>
              <w:bidi w:val="0"/>
              <w:spacing w:before="0" w:after="283"/>
              <w:jc w:val="both"/>
              <w:rPr>
                <w:b/>
              </w:rPr>
            </w:pPr>
            <w:r>
              <w:rPr>
                <w:b/>
              </w:rPr>
              <w:t>Affiliations with Obligor.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If the obligor is an affiliate of the trustee, describe each</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such affiliation.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8"/>
        <w:gridCol w:w="1587"/>
        <w:gridCol w:w="8430"/>
      </w:tblGrid>
      <w:tr>
        <w:trPr/>
        <w:tc>
          <w:tcPr>
            <w:tcW w:w="188"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b/>
              </w:rPr>
            </w:pPr>
            <w:r>
              <w:rPr>
                <w:b/>
              </w:rPr>
              <w:t>16.</w:t>
            </w:r>
          </w:p>
        </w:tc>
        <w:tc>
          <w:tcPr>
            <w:tcW w:w="8430" w:type="dxa"/>
            <w:tcBorders/>
            <w:vAlign w:val="center"/>
          </w:tcPr>
          <w:p>
            <w:pPr>
              <w:pStyle w:val="TableContents"/>
              <w:bidi w:val="0"/>
              <w:spacing w:before="0" w:after="283"/>
              <w:jc w:val="both"/>
              <w:rPr>
                <w:b/>
              </w:rPr>
            </w:pPr>
            <w:r>
              <w:rPr>
                <w:b/>
              </w:rPr>
              <w:t xml:space="preserve">List of Exhibits.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 identified in parentheses below, on file with the Commission, are incorporated herein by reference as an exhibit hereto, pursuant to Rule 7a-29 under the Trust Indenture Act of 1939 (the "Act").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1.</w:t>
            </w:r>
          </w:p>
        </w:tc>
        <w:tc>
          <w:tcPr>
            <w:tcW w:w="10010" w:type="dxa"/>
            <w:tcBorders/>
            <w:vAlign w:val="center"/>
          </w:tcPr>
          <w:p>
            <w:pPr>
              <w:pStyle w:val="TableContents"/>
              <w:bidi w:val="0"/>
              <w:spacing w:before="0" w:after="283"/>
              <w:jc w:val="both"/>
              <w:rPr/>
            </w:pPr>
            <w:r>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2.</w:t>
            </w:r>
          </w:p>
        </w:tc>
        <w:tc>
          <w:tcPr>
            <w:tcW w:w="9987" w:type="dxa"/>
            <w:tcBorders/>
            <w:vAlign w:val="center"/>
          </w:tcPr>
          <w:p>
            <w:pPr>
              <w:pStyle w:val="TableContents"/>
              <w:bidi w:val="0"/>
              <w:spacing w:before="0" w:after="283"/>
              <w:jc w:val="both"/>
              <w:rPr/>
            </w:pPr>
            <w:r>
              <w:rPr/>
              <w:t>A copy of certificate of authority of the trustee to commence business. (Exhibit 2 to Form T-1 filed with Registration Statement No. 333-121948).</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3.</w:t>
            </w:r>
          </w:p>
        </w:tc>
        <w:tc>
          <w:tcPr>
            <w:tcW w:w="9988" w:type="dxa"/>
            <w:tcBorders/>
            <w:vAlign w:val="center"/>
          </w:tcPr>
          <w:p>
            <w:pPr>
              <w:pStyle w:val="TableContents"/>
              <w:bidi w:val="0"/>
              <w:spacing w:before="0" w:after="283"/>
              <w:jc w:val="both"/>
              <w:rPr/>
            </w:pPr>
            <w:r>
              <w:rPr/>
              <w:t>A copy of the authorization of the trustee to exercise corporate trust powers (Exhibit 3 to Form T-1 filed with Registration Statement No. 333-152875).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- 9 -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4.</w:t>
            </w:r>
          </w:p>
        </w:tc>
        <w:tc>
          <w:tcPr>
            <w:tcW w:w="9977" w:type="dxa"/>
            <w:tcBorders/>
            <w:vAlign w:val="center"/>
          </w:tcPr>
          <w:p>
            <w:pPr>
              <w:pStyle w:val="TableContents"/>
              <w:bidi w:val="0"/>
              <w:spacing w:before="0" w:after="283"/>
              <w:jc w:val="both"/>
              <w:rPr/>
            </w:pPr>
            <w:r>
              <w:rPr/>
              <w:t>A copy of the existing by-laws of the trustee (Exhibit 4 to Form T-1 filed with Registration Statement No. 333-229762).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6.</w:t>
            </w:r>
          </w:p>
        </w:tc>
        <w:tc>
          <w:tcPr>
            <w:tcW w:w="9985" w:type="dxa"/>
            <w:tcBorders/>
            <w:vAlign w:val="center"/>
          </w:tcPr>
          <w:p>
            <w:pPr>
              <w:pStyle w:val="TableContents"/>
              <w:bidi w:val="0"/>
              <w:spacing w:before="0" w:after="283"/>
              <w:jc w:val="both"/>
              <w:rPr/>
            </w:pPr>
            <w:r>
              <w:rPr/>
              <w:t>The consent of the trustee required by Section 321(b) of the Act (Exhibit 6 to Form T-1 filed with Registration Statement No. 333-152875).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7.</w:t>
            </w:r>
          </w:p>
        </w:tc>
        <w:tc>
          <w:tcPr>
            <w:tcW w:w="9986" w:type="dxa"/>
            <w:tcBorders/>
            <w:vAlign w:val="center"/>
          </w:tcPr>
          <w:p>
            <w:pPr>
              <w:pStyle w:val="TableContents"/>
              <w:bidi w:val="0"/>
              <w:spacing w:before="0" w:after="283"/>
              <w:jc w:val="both"/>
              <w:rPr/>
            </w:pPr>
            <w:r>
              <w:rPr/>
              <w:t>A copy of the latest report of condition of the Trustee published pursuant to law or to the requirements of its supervising or examining authority.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- 10 -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Chicago, and State of Illinois, on the 27th day of July, 2026.</w:t>
      </w:r>
    </w:p>
    <w:p>
      <w:pPr>
        <w:pStyle w:val="TextBody"/>
        <w:bidi w:val="0"/>
        <w:spacing w:before="0" w:after="0"/>
        <w:ind w:left="0" w:right="0" w:firstLine="720"/>
        <w:jc w:val="both"/>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75"/>
        <w:gridCol w:w="857"/>
        <w:gridCol w:w="1601"/>
        <w:gridCol w:w="2855"/>
      </w:tblGrid>
      <w:tr>
        <w:trPr/>
        <w:tc>
          <w:tcPr>
            <w:tcW w:w="75" w:type="dxa"/>
            <w:tcBorders/>
            <w:vAlign w:val="center"/>
          </w:tcPr>
          <w:p>
            <w:pPr>
              <w:pStyle w:val="TableContents"/>
              <w:bidi w:val="0"/>
              <w:spacing w:before="0" w:after="283"/>
              <w:jc w:val="left"/>
              <w:rPr/>
            </w:pPr>
            <w:r>
              <w:rPr/>
              <w:t> </w:t>
            </w:r>
          </w:p>
        </w:tc>
        <w:tc>
          <w:tcPr>
            <w:tcW w:w="531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tc>
      </w:tr>
      <w:tr>
        <w:trPr/>
        <w:tc>
          <w:tcPr>
            <w:tcW w:w="75" w:type="dxa"/>
            <w:tcBorders/>
            <w:vAlign w:val="center"/>
          </w:tcPr>
          <w:p>
            <w:pPr>
              <w:pStyle w:val="TableContents"/>
              <w:bidi w:val="0"/>
              <w:spacing w:before="0" w:after="283"/>
              <w:jc w:val="left"/>
              <w:rPr/>
            </w:pPr>
            <w:r>
              <w:rPr/>
              <w:t> </w:t>
            </w:r>
          </w:p>
        </w:tc>
        <w:tc>
          <w:tcPr>
            <w:tcW w:w="531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45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Ann Dolezal</w:t>
            </w:r>
          </w:p>
        </w:tc>
      </w:tr>
      <w:tr>
        <w:trPr/>
        <w:tc>
          <w:tcPr>
            <w:tcW w:w="7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left"/>
              <w:rPr>
                <w:caps w:val="false"/>
                <w:smallCaps w:val="false"/>
              </w:rPr>
            </w:pPr>
            <w:r>
              <w:rPr>
                <w:caps w:val="false"/>
                <w:smallCaps w:val="false"/>
              </w:rPr>
              <w:t> </w:t>
            </w:r>
          </w:p>
        </w:tc>
        <w:tc>
          <w:tcPr>
            <w:tcW w:w="16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 M. Dolezal</w:t>
            </w:r>
          </w:p>
        </w:tc>
      </w:tr>
      <w:tr>
        <w:trPr/>
        <w:tc>
          <w:tcPr>
            <w:tcW w:w="75"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left"/>
              <w:rPr>
                <w:caps w:val="false"/>
                <w:smallCaps w:val="false"/>
              </w:rPr>
            </w:pPr>
            <w:r>
              <w:rPr>
                <w:caps w:val="false"/>
                <w:smallCaps w:val="false"/>
              </w:rPr>
              <w:t> </w:t>
            </w:r>
          </w:p>
        </w:tc>
        <w:tc>
          <w:tcPr>
            <w:tcW w:w="16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- 11 -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Report of Condition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333 South Hope Street, Suite 2525, Los Angeles, CA 90071</w:t>
      </w:r>
    </w:p>
    <w:p>
      <w:pPr>
        <w:pStyle w:val="TextBody"/>
        <w:bidi w:val="0"/>
        <w:spacing w:before="0" w:after="0"/>
        <w:ind w:left="0" w:right="0" w:hanging="0"/>
        <w:jc w:val="left"/>
        <w:rPr/>
      </w:pPr>
      <w:r>
        <w:rPr/>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close of business March 31, 2026, published in accordance with Federal regulatory authority instructions.</w:t>
      </w:r>
    </w:p>
    <w:p>
      <w:pPr>
        <w:pStyle w:val="TextBody"/>
        <w:bidi w:val="0"/>
        <w:spacing w:before="0" w:after="0"/>
        <w:ind w:left="0" w:right="0" w:hanging="0"/>
        <w:jc w:val="left"/>
        <w:rPr>
          <w:caps w:val="false"/>
          <w:smallCaps w:val="false"/>
        </w:rPr>
      </w:pPr>
      <w:r>
        <w:rPr>
          <w:caps w:val="false"/>
          <w:smallCaps w:val="false"/>
        </w:rPr>
        <w:t> </w:t>
      </w:r>
    </w:p>
    <w:tbl>
      <w:tblPr>
        <w:tblW w:w="7434" w:type="dxa"/>
        <w:jc w:val="left"/>
        <w:tblInd w:w="0" w:type="dxa"/>
        <w:tblLayout w:type="fixed"/>
        <w:tblCellMar>
          <w:top w:w="0" w:type="dxa"/>
          <w:left w:w="0" w:type="dxa"/>
          <w:bottom w:w="0" w:type="dxa"/>
          <w:right w:w="0" w:type="dxa"/>
        </w:tblCellMar>
      </w:tblPr>
      <w:tblGrid>
        <w:gridCol w:w="6035"/>
        <w:gridCol w:w="60"/>
        <w:gridCol w:w="163"/>
        <w:gridCol w:w="1101"/>
        <w:gridCol w:w="75"/>
      </w:tblGrid>
      <w:tr>
        <w:trPr/>
        <w:tc>
          <w:tcPr>
            <w:tcW w:w="6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center"/>
              <w:rPr>
                <w:sz w:val="20"/>
              </w:rPr>
            </w:pPr>
            <w:r>
              <w:rPr>
                <w:sz w:val="20"/>
              </w:rPr>
              <w:t>Dollar amounts</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in thousands</w:t>
            </w:r>
          </w:p>
        </w:tc>
        <w:tc>
          <w:tcPr>
            <w:tcW w:w="7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264"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64" w:type="dxa"/>
            <w:gridSpan w:val="2"/>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balances due from depository institutions: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Noninterest-bearing balances and currency and coin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Interest-bearing balances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262,835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Held-to-maturity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Available-for-sale debt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securities with readily determinable fair values not held for trading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 sold and securities purchased under agreements to resell:</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 sold in domestic offices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purchased under agreements to resell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lease financing receivables: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leases held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leases held for investment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Allowance for credit losses on loans and leases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leases held for investment, net of allowance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Premises and fixed assets (including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real estate owned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unconsolidated subsidiaries and associated companies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and indirect investments in real estate ventures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856,313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117,808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1,391,736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200"/>
        <w:gridCol w:w="60"/>
        <w:gridCol w:w="60"/>
        <w:gridCol w:w="845"/>
        <w:gridCol w:w="75"/>
      </w:tblGrid>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LIABILITIES</w:t>
            </w:r>
          </w:p>
        </w:tc>
        <w:tc>
          <w:tcPr>
            <w:tcW w:w="60" w:type="dxa"/>
            <w:tcBorders/>
            <w:shd w:fill="CCEEFF" w:val="clear"/>
            <w:vAlign w:val="center"/>
          </w:tcPr>
          <w:p>
            <w:pPr>
              <w:pStyle w:val="TableContents"/>
              <w:bidi w:val="0"/>
              <w:spacing w:before="0" w:after="283"/>
              <w:jc w:val="left"/>
              <w:rPr/>
            </w:pPr>
            <w:r>
              <w:rPr/>
              <w:t> </w:t>
            </w:r>
          </w:p>
        </w:tc>
        <w:tc>
          <w:tcPr>
            <w:tcW w:w="905"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905" w:type="dxa"/>
            <w:gridSpan w:val="2"/>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domestic offices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Noninterest-bearing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Interest-bearing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 purchased and securities sold under agreements to repurchase: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 purchased in domestic offices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sold under agreements to repurchase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borrowed money: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mortgage indebtedness)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notes and debentures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277,214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278,285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Perpetual preferred stock and related surplus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Surplus (exclude all surplus related to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108,610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available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1,003,856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equity capital components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available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bank equity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1,113,451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(minority) interests in consolidated subsidiaries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1,113,451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equity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1,391,736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Natalie Bobnar,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Natalie Bobnar       )       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3275"/>
        <w:gridCol w:w="80"/>
        <w:gridCol w:w="1610"/>
      </w:tblGrid>
      <w:tr>
        <w:trPr/>
        <w:tc>
          <w:tcPr>
            <w:tcW w:w="3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Elizabeth Lyndon, Managing Director</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 Weeks, President</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(Trustees)</w:t>
            </w:r>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Fernando A. Costa, Managing Director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xml:space="preserve">2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29" w:name="tm2621265d1_ex-filingfees.htm"/>
      <w:bookmarkStart w:id="30" w:name="kstm2621265d1_exfilingfees"/>
      <w:bookmarkStart w:id="31" w:name="tm2621265d1_ex-filingfees.htm"/>
      <w:bookmarkStart w:id="32" w:name="kstm2621265d1_exfilingfees"/>
      <w:bookmarkEnd w:id="31"/>
      <w:bookmarkEnd w:id="32"/>
      <w:r>
        <w:br w:type="page"/>
      </w:r>
    </w:p>
    <w:tbl>
      <w:tblPr>
        <w:tblW w:w="4610" w:type="dxa"/>
        <w:jc w:val="left"/>
        <w:tblInd w:w="0" w:type="dxa"/>
        <w:tblLayout w:type="fixed"/>
        <w:tblCellMar>
          <w:top w:w="28" w:type="dxa"/>
          <w:left w:w="28" w:type="dxa"/>
          <w:bottom w:w="28" w:type="dxa"/>
          <w:right w:w="28" w:type="dxa"/>
        </w:tblCellMar>
      </w:tblPr>
      <w:tblGrid>
        <w:gridCol w:w="4456"/>
        <w:gridCol w:w="154"/>
      </w:tblGrid>
      <w:tr>
        <w:trPr/>
        <w:tc>
          <w:tcPr>
            <w:tcW w:w="461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45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283"/>
              <w:jc w:val="left"/>
              <w:rPr>
                <w:b/>
              </w:rPr>
            </w:pPr>
            <w:r>
              <w:rPr>
                <w:b/>
              </w:rPr>
              <w:t xml:space="preserve">Charter Communications Operating LLC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954" w:type="dxa"/>
        <w:jc w:val="left"/>
        <w:tblInd w:w="0" w:type="dxa"/>
        <w:tblLayout w:type="fixed"/>
        <w:tblCellMar>
          <w:top w:w="28" w:type="dxa"/>
          <w:left w:w="28" w:type="dxa"/>
          <w:bottom w:w="28" w:type="dxa"/>
          <w:right w:w="28" w:type="dxa"/>
        </w:tblCellMar>
      </w:tblPr>
      <w:tblGrid>
        <w:gridCol w:w="1126"/>
        <w:gridCol w:w="226"/>
        <w:gridCol w:w="946"/>
        <w:gridCol w:w="102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9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9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33" w:name="MaxAggtOfferingPrice"/>
            <w:bookmarkEnd w:id="33"/>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4" w:name="TotalFeeAmt"/>
            <w:bookmarkEnd w:id="3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TotalPreviouslyPaid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TotalOffset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NetFee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5"/>
        <w:gridCol w:w="8707"/>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An unspecified aggregate initial offering price or number of the securities of each identified class is being registered as may from time to time be at unspecified prices. The debt securities registered include any guarantees from the registrants. Each registrant is relying on Rules 456(b) and 457(r) under the Securities Act, to defer payment of the entire registration fee. In connection with the securities offered hereby, the registrants will pay "pay-as-you-go registration fees" in accordance with Rule 456(b) under the Securities Act. The registrant will calculate the registration fee applicable to an offer of securities pursuant to this registration statement based on the fee rate in effect on the date of such fee payment.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091667/000109166726000017/chtr-20251231.htm" TargetMode="External"/><Relationship Id="rId3" Type="http://schemas.openxmlformats.org/officeDocument/2006/relationships/hyperlink" Target="https://www.sec.gov/ix?doc=/Archives/edgar/data/1091667/000114036126009220/ny20062718x1_def14a.htm" TargetMode="External"/><Relationship Id="rId4" Type="http://schemas.openxmlformats.org/officeDocument/2006/relationships/hyperlink" Target="https://www.sec.gov/ix?doc=/Archives/edgar/data/1091667/000109166726000028/chtr-20260331.htm" TargetMode="External"/><Relationship Id="rId5" Type="http://schemas.openxmlformats.org/officeDocument/2006/relationships/hyperlink" Target="https://www.sec.gov/ix?doc=/Archives/edgar/data/1091667/000109166726000052/chtr-20260630.htm" TargetMode="External"/><Relationship Id="rId6" Type="http://schemas.openxmlformats.org/officeDocument/2006/relationships/hyperlink" Target="https://www.sec.gov/ix?doc=/Archives/edgar/data/1091667/000110465926001104/tm2534172d3_8k.htm" TargetMode="External"/><Relationship Id="rId7" Type="http://schemas.openxmlformats.org/officeDocument/2006/relationships/hyperlink" Target="https://www.sec.gov/ix?doc=/Archives/edgar/data/1091667/000110465926003739/tm263008d1_8k.htm" TargetMode="External"/><Relationship Id="rId8" Type="http://schemas.openxmlformats.org/officeDocument/2006/relationships/hyperlink" Target="https://www.sec.gov/ix?doc=/Archives/edgar/data/1091667/000109166726000006/chtr-20260116.htm" TargetMode="External"/><Relationship Id="rId9" Type="http://schemas.openxmlformats.org/officeDocument/2006/relationships/hyperlink" Target="https://www.sec.gov/ix?doc=/Archives/edgar/data/1091667/000109166726000011/chtr-20260127.htm" TargetMode="External"/><Relationship Id="rId10" Type="http://schemas.openxmlformats.org/officeDocument/2006/relationships/hyperlink" Target="https://www.sec.gov/ix?doc=/Archives/edgar/data/1091667/000114036126006730/ef20066502_8k.htm" TargetMode="External"/><Relationship Id="rId11" Type="http://schemas.openxmlformats.org/officeDocument/2006/relationships/hyperlink" Target="https://www.sec.gov/ix?doc=/Archives/edgar/data/1091667/000109166726000024/chtr-20260421.htm" TargetMode="External"/><Relationship Id="rId12" Type="http://schemas.openxmlformats.org/officeDocument/2006/relationships/hyperlink" Target="https://www.sec.gov/ix?doc=/Archives/edgar/data/1091667/000109166726000032/chtr-20260515.htm" TargetMode="External"/><Relationship Id="rId13" Type="http://schemas.openxmlformats.org/officeDocument/2006/relationships/hyperlink" Target="https://www.sec.gov/ix?doc=/Archives/edgar/data/1091667/000110465926086302/tm2621145d1_8k.htm" TargetMode="External"/><Relationship Id="rId14" Type="http://schemas.openxmlformats.org/officeDocument/2006/relationships/hyperlink" Target="https://www.sec.gov/ix?doc=/Archives/edgar/data/1271833/000127183326000005/ccoh-20251231.htm" TargetMode="External"/><Relationship Id="rId15" Type="http://schemas.openxmlformats.org/officeDocument/2006/relationships/hyperlink" Target="https://www.sec.gov/ix?doc=/Archives/edgar/data/1271833/000127183326000009/ccoh-20260331.htm" TargetMode="External"/><Relationship Id="rId16" Type="http://schemas.openxmlformats.org/officeDocument/2006/relationships/hyperlink" Target="https://www.sec.gov/ix?doc=/Archives/edgar/data/1271833/000127183326000014/ccoh-20260630.htm" TargetMode="External"/><Relationship Id="rId17" Type="http://schemas.openxmlformats.org/officeDocument/2006/relationships/hyperlink" Target="https://www.sec.gov/ix?doc=/Archives/edgar/data/1271833/000127183326000014/ccoh-20260630.htm" TargetMode="External"/><Relationship Id="rId18" Type="http://schemas.openxmlformats.org/officeDocument/2006/relationships/hyperlink" Target="https://www.sec.gov/ix?doc=/Archives/edgar/data/1271833/000127183326000014/ccoh-20260630.htm" TargetMode="External"/><Relationship Id="rId19" Type="http://schemas.openxmlformats.org/officeDocument/2006/relationships/hyperlink" Target="https://www.sec.gov/ix?doc=/Archives/edgar/data/1091667/000110465926003739/tm263008d1_8k.htm" TargetMode="External"/><Relationship Id="rId20" Type="http://schemas.openxmlformats.org/officeDocument/2006/relationships/hyperlink" Target="https://www.sec.gov/ix?doc=/Archives/edgar/data/1091667/000109166726000006/chtr-20260116.htm" TargetMode="External"/><Relationship Id="rId21" Type="http://schemas.openxmlformats.org/officeDocument/2006/relationships/hyperlink" Target="https://www.sec.gov/ix?doc=/Archives/edgar/data/1091667/000109166726000011/chtr-20260127.htm" TargetMode="External"/><Relationship Id="rId22" Type="http://schemas.openxmlformats.org/officeDocument/2006/relationships/hyperlink" Target="https://www.sec.gov/ix?doc=/Archives/edgar/data/1091667/000114036126006730/ef20066502_8k.htm" TargetMode="External"/><Relationship Id="rId23" Type="http://schemas.openxmlformats.org/officeDocument/2006/relationships/hyperlink" Target="https://www.sec.gov/ix?doc=/Archives/edgar/data/1091667/000109166726000024/chtr-20260421.htm" TargetMode="External"/><Relationship Id="rId24" Type="http://schemas.openxmlformats.org/officeDocument/2006/relationships/hyperlink" Target="https://www.sec.gov/ix?doc=/Archives/edgar/data/1091667/000109166726000032/chtr-20260515.htm" TargetMode="External"/><Relationship Id="rId25" Type="http://schemas.openxmlformats.org/officeDocument/2006/relationships/hyperlink" Target="https://www.sec.gov/ix?doc=/Archives/edgar/data/1091667/000110465926086302/tm2621145d1_8k.htm" TargetMode="External"/><Relationship Id="rId26" Type="http://schemas.openxmlformats.org/officeDocument/2006/relationships/hyperlink" Target="https://www.sec.gov/ix?doc=/Archives/edgar/data/1271833/000127183326000005/ccoh-20251231.htm" TargetMode="External"/><Relationship Id="rId27" Type="http://schemas.openxmlformats.org/officeDocument/2006/relationships/hyperlink" Target="https://www.sec.gov/ix?doc=/Archives/edgar/data/1271833/000127183326000009/ccoh-20260331.htm" TargetMode="External"/><Relationship Id="rId28" Type="http://schemas.openxmlformats.org/officeDocument/2006/relationships/hyperlink" Target="https://www.sec.gov/ix?doc=/Archives/edgar/data/1271833/000127183326000014/ccoh-20260630.htm" TargetMode="External"/><Relationship Id="rId29" Type="http://schemas.openxmlformats.org/officeDocument/2006/relationships/hyperlink" Target="https://www.sec.gov/ix?doc=/Archives/edgar/data/1271833/000127183326000005/ccoh-20251231.htm" TargetMode="External"/><Relationship Id="rId30" Type="http://schemas.openxmlformats.org/officeDocument/2006/relationships/hyperlink" Target="https://www.sec.gov/ix?doc=/Archives/edgar/data/1091667/000109166726000017/chtr-20251231.htm" TargetMode="External"/><Relationship Id="rId31" Type="http://schemas.openxmlformats.org/officeDocument/2006/relationships/hyperlink" Target="http://www.sec.gov/Archives/edgar/data/1091667/000114036124046322/ny20038391x1_ex2-1.htm" TargetMode="External"/><Relationship Id="rId32" Type="http://schemas.openxmlformats.org/officeDocument/2006/relationships/hyperlink" Target="http://www.sec.gov/Archives/edgar/data/1091667/000114036125019688/ef20049261_ex2-1.htm" TargetMode="External"/><Relationship Id="rId33" Type="http://schemas.openxmlformats.org/officeDocument/2006/relationships/hyperlink" Target="http://www.sec.gov/Archives/edgar/data/1091667/000114036124046322/ny20038391x1_ex10-3.htm" TargetMode="External"/><Relationship Id="rId34" Type="http://schemas.openxmlformats.org/officeDocument/2006/relationships/hyperlink" Target="http://www.sec.gov/Archives/edgar/data/1091667/000109166715000177/exh41chtr723158k.htm" TargetMode="External"/><Relationship Id="rId35" Type="http://schemas.openxmlformats.org/officeDocument/2006/relationships/hyperlink" Target="http://www.sec.gov/Archives/edgar/data/1091667/000119312515387342/d215006dex41.htm" TargetMode="External"/><Relationship Id="rId36" Type="http://schemas.openxmlformats.org/officeDocument/2006/relationships/hyperlink" Target="http://www.sec.gov/Archives/edgar/data/1091667/000119312516600775/d198771dex41.htm" TargetMode="External"/><Relationship Id="rId37" Type="http://schemas.openxmlformats.org/officeDocument/2006/relationships/hyperlink" Target="http://www.sec.gov/Archives/edgar/data/1091667/000119312516600775/d198771dex43.htm" TargetMode="External"/><Relationship Id="rId38" Type="http://schemas.openxmlformats.org/officeDocument/2006/relationships/hyperlink" Target="http://www.sec.gov/Archives/edgar/data/1091667/000119312519161294/d753026dex41.htm" TargetMode="External"/><Relationship Id="rId39" Type="http://schemas.openxmlformats.org/officeDocument/2006/relationships/hyperlink" Target="http://www.sec.gov/Archives/edgar/data/1105705/000110570506000075/ex991suppindenture.txt" TargetMode="External"/><Relationship Id="rId40" Type="http://schemas.openxmlformats.org/officeDocument/2006/relationships/hyperlink" Target="http://www.sec.gov/Archives/edgar/data/1377013/000119312512411525/d418440dex42.htm" TargetMode="External"/><Relationship Id="rId41" Type="http://schemas.openxmlformats.org/officeDocument/2006/relationships/hyperlink" Target="http://www.sec.gov/Archives/edgar/data/1091667/000119312516600775/d198771dex44.htm" TargetMode="External"/><Relationship Id="rId42" Type="http://schemas.openxmlformats.org/officeDocument/2006/relationships/hyperlink" Target="http://www.sec.gov/Archives/edgar/data/1377013/000095014407003230/g06543exv4w1.htm" TargetMode="External"/><Relationship Id="rId43" Type="http://schemas.openxmlformats.org/officeDocument/2006/relationships/hyperlink" Target="https://www.sec.gov/Archives/edgar/data/1377013/000119312512411525/d418440dex41.htm" TargetMode="External"/><Relationship Id="rId44" Type="http://schemas.openxmlformats.org/officeDocument/2006/relationships/hyperlink" Target="http://www.sec.gov/Archives/edgar/data/1091667/000119312516600775/d198771dex45.htm" TargetMode="External"/><Relationship Id="rId45" Type="http://schemas.openxmlformats.org/officeDocument/2006/relationships/hyperlink" Target="http://www.sec.gov/Archives/edgar/data/1091667/000119312516600775/d198771dex46.htm" TargetMode="External"/><Relationship Id="rId46" Type="http://schemas.openxmlformats.org/officeDocument/2006/relationships/hyperlink" Target="http://www.sec.gov/Archives/edgar/data/1091667/000109166719000085/chtr3312019exh-104.htm" TargetMode="External"/><Relationship Id="rId47" Type="http://schemas.openxmlformats.org/officeDocument/2006/relationships/hyperlink" Target="http://www.sec.gov/Archives/edgar/data/1091667/000110465919057853/tm1919719d8_ex10-2.htm" TargetMode="External"/><Relationship Id="rId48" Type="http://schemas.openxmlformats.org/officeDocument/2006/relationships/hyperlink" Target="http://www.sec.gov/Archives/edgar/data/1091667/000110465922067640/tm2217554d1_ex10-1.htm" TargetMode="External"/><Relationship Id="rId49" Type="http://schemas.openxmlformats.org/officeDocument/2006/relationships/hyperlink" Target="http://www.sec.gov/Archives/edgar/data/1091667/000110465923022811/tm236553d1_ex10-2.htm" TargetMode="External"/><Relationship Id="rId50" Type="http://schemas.openxmlformats.org/officeDocument/2006/relationships/hyperlink" Target="http://www.sec.gov/Archives/edgar/data/1091667/000110465923038343/tm2310675d1_ex10-1.htm" TargetMode="External"/><Relationship Id="rId51" Type="http://schemas.openxmlformats.org/officeDocument/2006/relationships/hyperlink" Target="http://www.sec.gov/Archives/edgar/data/1091667/000110465923125714/tm2332479d1_ex10-1.htm" TargetMode="External"/><Relationship Id="rId52" Type="http://schemas.openxmlformats.org/officeDocument/2006/relationships/hyperlink" Target="http://www.sec.gov/Archives/edgar/data/1091667/000110465924126817/tm2430518d1_ex10-1.htm" TargetMode="External"/><Relationship Id="rId53" Type="http://schemas.openxmlformats.org/officeDocument/2006/relationships/hyperlink" Target="http://www.sec.gov/Archives/edgar/data/1091667/000119312516600775/d198771dex106.htm" TargetMode="External"/><Relationship Id="rId54" Type="http://schemas.openxmlformats.org/officeDocument/2006/relationships/hyperlink" Target="http://www.sec.gov/Archives/edgar/data/1091667/000119312516600775/d198771dex107.htm" TargetMode="External"/><Relationship Id="rId55" Type="http://schemas.openxmlformats.org/officeDocument/2006/relationships/image" Target="media/image1.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3.jpeg"/><Relationship Id="rId62" Type="http://schemas.openxmlformats.org/officeDocument/2006/relationships/image" Target="media/image4.jpeg"/><Relationship Id="rId63" Type="http://schemas.openxmlformats.org/officeDocument/2006/relationships/image" Target="media/image4.jpeg"/><Relationship Id="rId64" Type="http://schemas.openxmlformats.org/officeDocument/2006/relationships/image" Target="media/image4.jpeg"/><Relationship Id="rId65" Type="http://schemas.openxmlformats.org/officeDocument/2006/relationships/image" Target="media/image4.jpeg"/><Relationship Id="rId66" Type="http://schemas.openxmlformats.org/officeDocument/2006/relationships/image" Target="media/image4.jpeg"/><Relationship Id="rId67" Type="http://schemas.openxmlformats.org/officeDocument/2006/relationships/image" Target="media/image5.jpeg"/><Relationship Id="rId68" Type="http://schemas.openxmlformats.org/officeDocument/2006/relationships/image" Target="media/image6.jpeg"/><Relationship Id="rId69" Type="http://schemas.openxmlformats.org/officeDocument/2006/relationships/image" Target="media/image6.jpeg"/><Relationship Id="rId70" Type="http://schemas.openxmlformats.org/officeDocument/2006/relationships/image" Target="media/image6.jpeg"/><Relationship Id="rId71" Type="http://schemas.openxmlformats.org/officeDocument/2006/relationships/image" Target="media/image6.jpeg"/><Relationship Id="rId72" Type="http://schemas.openxmlformats.org/officeDocument/2006/relationships/image" Target="media/image7.jpeg"/><Relationship Id="rId73" Type="http://schemas.openxmlformats.org/officeDocument/2006/relationships/image" Target="media/image7.jpeg"/><Relationship Id="rId74" Type="http://schemas.openxmlformats.org/officeDocument/2006/relationships/fontTable" Target="fontTable.xml"/><Relationship Id="rId7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28406</Words>
  <Characters>162963</Characters>
  <CharactersWithSpaces>192446</CharactersWithSpaces>
  <Paragraphs>4850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