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0001289431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0"/>
        <w:spacing w:after="0" w:line="281" w:lineRule="auto"/>
        <w:rPr>
          <w:sz w:val="20"/>
          <w:szCs w:val="20"/>
          <w:color w:val="auto"/>
        </w:rPr>
      </w:pPr>
      <w:r>
        <w:rPr>
          <w:rFonts w:ascii="Times New Roman" w:cs="Times New Roman" w:eastAsia="Times New Roman" w:hAnsi="Times New Roman"/>
          <w:sz w:val="22"/>
          <w:szCs w:val="22"/>
          <w:color w:val="auto"/>
        </w:rPr>
        <w:t>CHARTER COMMUNICATIONS, INC. /MO/ 001-33664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STAMFORD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203-905-7801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Rutledge Thomas</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Commonwealth Financial</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Network</w:t>
      </w:r>
    </w:p>
    <w:p>
      <w:pPr>
        <w:spacing w:after="0"/>
        <w:tabs>
          <w:tab w:leader="none" w:pos="2340" w:val="left"/>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2"/>
          <w:szCs w:val="22"/>
          <w:color w:val="auto"/>
        </w:rPr>
        <w:t>275 Wyman Street, Suite</w:t>
        <w:tab/>
        <w:t>150958</w:t>
      </w:r>
      <w:r>
        <w:rPr>
          <w:sz w:val="20"/>
          <w:szCs w:val="20"/>
          <w:color w:val="auto"/>
        </w:rPr>
        <w:tab/>
      </w:r>
      <w:r>
        <w:rPr>
          <w:rFonts w:ascii="Times New Roman" w:cs="Times New Roman" w:eastAsia="Times New Roman" w:hAnsi="Times New Roman"/>
          <w:sz w:val="22"/>
          <w:szCs w:val="22"/>
          <w:color w:val="auto"/>
        </w:rPr>
        <w:t>21731914.00</w:t>
        <w:tab/>
        <w:t>125488486</w:t>
        <w:tab/>
        <w:t>05/27/2026</w:t>
      </w:r>
      <w:r>
        <w:rPr>
          <w:sz w:val="20"/>
          <w:szCs w:val="20"/>
          <w:color w:val="auto"/>
        </w:rPr>
        <w:tab/>
      </w:r>
      <w:r>
        <w:rPr>
          <w:rFonts w:ascii="Times New Roman" w:cs="Times New Roman" w:eastAsia="Times New Roman" w:hAnsi="Times New Roman"/>
          <w:sz w:val="21"/>
          <w:szCs w:val="21"/>
          <w:color w:val="auto"/>
        </w:rPr>
        <w:t>NASDAQ</w:t>
      </w:r>
    </w:p>
    <w:p>
      <w:pPr>
        <w:spacing w:after="0" w:line="231" w:lineRule="auto"/>
        <w:rPr>
          <w:sz w:val="20"/>
          <w:szCs w:val="20"/>
          <w:color w:val="auto"/>
        </w:rPr>
      </w:pPr>
      <w:r>
        <w:rPr>
          <w:rFonts w:ascii="Times New Roman" w:cs="Times New Roman" w:eastAsia="Times New Roman" w:hAnsi="Times New Roman"/>
          <w:sz w:val="22"/>
          <w:szCs w:val="22"/>
          <w:color w:val="auto"/>
        </w:rPr>
        <w:t>400</w:t>
      </w:r>
    </w:p>
    <w:p>
      <w:pPr>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02/13/2014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71391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02/13/2014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03/13/2013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1562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03/13/2013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03/17/2013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12375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03/17/2013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02/13/2015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8335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02/13/2015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12/22/2015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3214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12/22/2015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02/13/2016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24749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02/13/2016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09/02/2020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9725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09/02/2020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11/16/2020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19607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11/16/2020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-1472565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-1283970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-1095375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Rutledge Family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Washington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Charter Communications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03/05/2026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5857138.96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Stamford  CT  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These shares will be sold on behalf of The Rutledge Family Foundation.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Heather Virgoe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Rutledge Thomas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2026-05-27T09:20:45Z</dcterms:created>
  <dcterms:modified xsi:type="dcterms:W3CDTF">2026-05-27T09:20:45Z</dcterms:modified>
</cp:coreProperties>
</file>