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343374.xml.htm"/>
      <w:bookmarkStart w:id="1" w:name="kswkform3_178734337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Taylor Alexander Cox</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CHARTER COMMUNICATIONS, INC. /MO/</w:t>
              </w:r>
            </w:hyperlink>
            <w:r>
              <w:rPr/>
              <w:t xml:space="preserve"> [ </w:t>
            </w:r>
            <w:r>
              <w:rPr>
                <w:rFonts w:ascii="Times;serif" w:hAnsi="Times;serif"/>
                <w:color w:val="0000FF"/>
                <w:sz w:val="24"/>
                <w:shd w:fill="FFFFFF" w:val="clear"/>
              </w:rPr>
              <w:t>CHTR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9"/>
        <w:gridCol w:w="1221"/>
        <w:gridCol w:w="1107"/>
        <w:gridCol w:w="1100"/>
        <w:gridCol w:w="1289"/>
        <w:gridCol w:w="1219"/>
        <w:gridCol w:w="1165"/>
        <w:gridCol w:w="1215"/>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2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2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0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1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28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Charter Communications Holdings Class C Common Units</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08/19/2026</w:t>
            </w:r>
            <w:r>
              <w:rPr>
                <w:rFonts w:ascii="Times;serif" w:hAnsi="Times;serif"/>
                <w:color w:val="008000"/>
                <w:position w:val="7"/>
                <w:sz w:val="16"/>
                <w:sz w:val="20"/>
                <w:shd w:fill="FFFFFF" w:val="clear"/>
              </w:rPr>
              <w:t>(1)</w:t>
            </w:r>
          </w:p>
        </w:tc>
        <w:tc>
          <w:tcPr>
            <w:tcW w:w="11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Issuer Class A Common Stock</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33,586,045</w:t>
            </w:r>
            <w:r>
              <w:rPr>
                <w:rFonts w:ascii="Times;serif" w:hAnsi="Times;serif"/>
                <w:color w:val="008000"/>
                <w:position w:val="7"/>
                <w:sz w:val="16"/>
                <w:sz w:val="20"/>
                <w:shd w:fill="FFFFFF" w:val="clear"/>
              </w:rPr>
              <w:t>(2)</w:t>
            </w:r>
          </w:p>
        </w:tc>
        <w:tc>
          <w:tcPr>
            <w:tcW w:w="12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(1)(3)(4)</w:t>
            </w:r>
          </w:p>
        </w:tc>
      </w:tr>
      <w:tr>
        <w:trPr/>
        <w:tc>
          <w:tcPr>
            <w:tcW w:w="18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Charter Communications Holdings Convertible Preferred Units</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08/19/2026</w:t>
            </w:r>
            <w:r>
              <w:rPr>
                <w:rFonts w:ascii="Times;serif" w:hAnsi="Times;serif"/>
                <w:color w:val="008000"/>
                <w:position w:val="7"/>
                <w:sz w:val="16"/>
                <w:sz w:val="20"/>
                <w:shd w:fill="FFFFFF" w:val="clear"/>
              </w:rPr>
              <w:t>(1)</w:t>
            </w:r>
          </w:p>
        </w:tc>
        <w:tc>
          <w:tcPr>
            <w:tcW w:w="11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Issuer Class A Common Stock</w:t>
            </w:r>
          </w:p>
        </w:tc>
        <w:tc>
          <w:tcPr>
            <w:tcW w:w="12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12,567,840</w:t>
            </w:r>
            <w:r>
              <w:rPr>
                <w:rFonts w:ascii="Times;serif" w:hAnsi="Times;serif"/>
                <w:color w:val="008000"/>
                <w:position w:val="7"/>
                <w:sz w:val="16"/>
                <w:sz w:val="20"/>
                <w:shd w:fill="FFFFFF" w:val="clear"/>
              </w:rPr>
              <w:t>(5)</w:t>
            </w:r>
          </w:p>
        </w:tc>
        <w:tc>
          <w:tcPr>
            <w:tcW w:w="12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477.41</w:t>
            </w:r>
            <w:r>
              <w:rPr>
                <w:rFonts w:ascii="Times;serif" w:hAnsi="Times;serif"/>
                <w:color w:val="008000"/>
                <w:position w:val="7"/>
                <w:sz w:val="16"/>
                <w:sz w:val="20"/>
                <w:shd w:fill="FFFFFF" w:val="clear"/>
              </w:rPr>
              <w:t>(5)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(1)(3)(4)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Cox Communications Equity Holdings, Inc. ("CCEH") acquired the Class C Common Units (the "Class C Common Units") and the Convertible Preferred Units (the "Convertible Preferred Units") of Charter Communications Holdings, LLC ("Charter Communications Holdings") disclosed on this Form 3 on August 19, 2026 and such units have no expiration date. CCEH is entitled to voting rights with respect to the Class C Common Units and the Convertible Preferred Units through its ownership of one share of Class C Common Stock, par value $0.001 per share,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Upon exchange by CCEH, the Class C Common Units owned by CCEH will be exchangeable, in certain circumstances, for cash or, at the Issuer's election, Class A Common Stock of the Issuer on a one-for-one basis, subject to certain adjustments.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by virtue of his affiliations with the Cox Family Voting Trust u/a/d 7/26/13 and Cox Enterprises, Inc., may be deemed to beneficially own the Class C Common Units and the Convertible Preferred Units owned directly by CCEH. CCEH is a wholly owned subsidiary of Cox Enterprises, Inc. and Cox Enterprises, Inc. is an indirect beneficial owner of the reported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disclaims beneficial ownership of the Class C Common Units and the Convertible Preferred Units owned by CCEH and this report shall not be deemed an admission that the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the 60,000,000 Convertible Preferred Units, which have an aggregate liquidation preference of $6.0 billion and 6.875% coupon, are convertible into Class C Common Units at an initial conversion price of $477.41 per unit, subject to certain adjustments. Upon exchange by CCEH, the Class C Common Units owned by CCEH will be exchangeable, in certain circumstances, for cash or, at the Issuer's election, Class A Common Stock of the Issuer on a one-for-one basis, subject to certain adjustments.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C. Taylor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werofattorney.htm"/>
      <w:bookmarkStart w:id="3" w:name="kssection16powerofattorney"/>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PERSONS BY THESE PRESENTS, that the undersigned constitutes and appoints each of Jamal H. Haughton, Thomas E. Proost, Jennifer A. Smith, William S. Grimshaw, Meghan E. Gearhart and any person designated in writing by the General Counsel of Charter Communications, Inc. (the “Company”), acting alone, as his true and lawful attorney-in-fact and agent, effective on the date hereof, for him and in his name, place and stead, in any and all capacities, to: (i) prepare, execute and file with the United States Securities and Exchange Commission (“SEC”), NASDAQ and any stock exchange or similar authority as considered necessary or advisable, on behalf of him, a Form ID, including amendments thereto, and any other documents necessary, appropriate or desirable to obtain credentials (including codes and passwords) enabling the undersigned to make electronic filings with the SEC via the Electronic Data Gathering and Retrieval (“EDGAR”) system of reports required or considered by such attorney-in-fact to be advisable under Section 16 of the Securities Exchange Act of 1934, as amended (the “Exchange Act”), and the rules and regulations promulgated thereunder; (ii) enroll the undersigned in EDGAR Next or any successor filing system, and act as an account administrator for the undersigned’s EDGAR account, including (a) appointing, removing and replacing account administrators, technical administrators, account users, and delegated entities, (b) maintaining the security of the undersigned’s EDGAR account, including modification of access codes, (c) maintaining, modifying and certifying the accuracy of information on the undersigned’s EDGAR account dashboard and (d) taking any other actions contemplated by Rule 10 of Regulation S-T; (iii) cause the Company to accept a delegation of authority from the undersigned’s EDGAR account administrators and authorize the Company’s EDGAR account administrators pursuant to that delegated entity designation to appoint, remove or replace users for the undersigned’s EDGAR account; (iv) prepare, execute and file with the SEC, NASDAQ and any stock exchange or similar authority as considered necessary or advisable any and all Forms 3, 4, and 5 reporting beneficial ownership and changes in beneficial ownership of securities issued by the Company and any amendments and supplements to those forms, or other required report, which, in the opinion of such attorney-in-fact, may be necessary, appropriate or desirable to comply with Section 16(a) of the Exchange Act and the rules and regulations promulgated thereunder; and (v)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undersigned hereby grants to each attorney-in-fact full power and authority to perform all and every act requisite, necessary and proper to be done in the exercise of any of the rights and powers herein granted, with full power of revocation, hereby ratifying and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Exchange Act. This Power of Attorney shall automatically terminate as to named attorneys-in-fact six months after the undersigned ceases to be a subsidiary of the Company. This Power of Attorney shall terminate as to each named attorney-in-fact whose employment by the Company and its affiliates shall terminate. IN WITNESS WHEREOF, the undersigned has caused this Power of Attorney to be executed. Date: _____________________ By: _______________________________ Print Name: Alex Taylor /s/ Alex Taylor8/19/2026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2618" TargetMode="External"/><Relationship Id="rId3" Type="http://schemas.openxmlformats.org/officeDocument/2006/relationships/hyperlink" Target="http://www.sec.gov/cgi-bin/browse-edgar?action=getcompany&amp;CIK=000109166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1372</Words>
  <Characters>7649</Characters>
  <CharactersWithSpaces>8958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