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21145d1_8k.htm"/>
      <w:bookmarkStart w:id="1" w:name="kstm2621145d1_8k"/>
      <w:bookmarkEnd w:id="0"/>
      <w:bookmarkEnd w:id="1"/>
      <w:r>
        <w:rPr/>
        <w:t> </w:t>
      </w:r>
    </w:p>
    <w:p>
      <w:pPr>
        <w:pStyle w:val="TextBody"/>
        <w:bidi w:val="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SECURITIES AND EXCHANGE COMMISSION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Washington, D.C. 20549 </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FORM </w:t>
      </w:r>
      <w:bookmarkStart w:id="2" w:name="xdx_906_edei--DocumentType_c20260723__20"/>
      <w:bookmarkEnd w:id="2"/>
      <w:r>
        <w:rPr>
          <w:rFonts w:ascii="Times New Roman;Times;Serif" w:hAnsi="Times New Roman;Times;Serif"/>
          <w:b/>
          <w:i w:val="false"/>
          <w:caps w:val="false"/>
          <w:smallCaps w:val="false"/>
          <w:sz w:val="20"/>
        </w:rPr>
        <w:t>8-K</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B_edei--DocumentPeriodEndDate_c202"/>
      <w:bookmarkEnd w:id="3"/>
      <w:r>
        <w:rPr>
          <w:rFonts w:ascii="Times New Roman;Times;Serif" w:hAnsi="Times New Roman;Times;Serif"/>
          <w:b/>
          <w:i w:val="false"/>
          <w:caps w:val="false"/>
          <w:smallCaps w:val="false"/>
          <w:sz w:val="20"/>
        </w:rPr>
        <w:t>July 23, 2026</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2133600" cy="6381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133600" cy="638175"/>
                    </a:xfrm>
                    <a:prstGeom prst="rect">
                      <a:avLst/>
                    </a:prstGeom>
                  </pic:spPr>
                </pic:pic>
              </a:graphicData>
            </a:graphic>
          </wp:inline>
        </w:drawing>
      </w: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bookmarkStart w:id="4" w:name="xdx_906_edei--EntityRegistrantName_c2026"/>
      <w:bookmarkEnd w:id="4"/>
      <w:r>
        <w:rPr>
          <w:rFonts w:ascii="Times New Roman;Times;Serif" w:hAnsi="Times New Roman;Times;Serif"/>
          <w:b/>
          <w:i w:val="false"/>
          <w:caps w:val="false"/>
          <w:smallCaps w:val="false"/>
          <w:sz w:val="28"/>
        </w:rPr>
        <w:t>Charter Communications, Inc.</w:t>
      </w:r>
    </w:p>
    <w:p>
      <w:pPr>
        <w:pStyle w:val="TextBody"/>
        <w:bidi w:val="0"/>
        <w:spacing w:before="0" w:after="0"/>
        <w:ind w:left="0" w:right="0" w:hanging="0"/>
        <w:jc w:val="center"/>
        <w:rPr>
          <w:rFonts w:ascii="Times New Roman;Times;Serif" w:hAnsi="Times New Roman;Times;Serif"/>
          <w:b/>
          <w:i w:val="false"/>
          <w:caps w:val="false"/>
          <w:smallCaps w:val="false"/>
          <w:sz w:val="28"/>
        </w:rPr>
      </w:pPr>
      <w:bookmarkStart w:id="5" w:name="xdx_906_edei--EntityRegistrantName_c2026"/>
      <w:bookmarkEnd w:id="5"/>
      <w:r>
        <w:rPr>
          <w:rFonts w:ascii="Times New Roman;Times;Serif" w:hAnsi="Times New Roman;Times;Serif"/>
          <w:b/>
          <w:i w:val="false"/>
          <w:caps w:val="false"/>
          <w:smallCaps w:val="false"/>
          <w:sz w:val="28"/>
        </w:rPr>
        <w:t>CCO Holdings, LLC</w:t>
      </w:r>
    </w:p>
    <w:p>
      <w:pPr>
        <w:pStyle w:val="TextBody"/>
        <w:bidi w:val="0"/>
        <w:spacing w:before="0" w:after="0"/>
        <w:ind w:left="0" w:right="0" w:hanging="0"/>
        <w:jc w:val="center"/>
        <w:rPr>
          <w:rFonts w:ascii="Times New Roman;Times;Serif" w:hAnsi="Times New Roman;Times;Serif"/>
          <w:b/>
          <w:i w:val="false"/>
          <w:caps w:val="false"/>
          <w:smallCaps w:val="false"/>
          <w:sz w:val="28"/>
        </w:rPr>
      </w:pPr>
      <w:bookmarkStart w:id="6" w:name="xdx_904_edei--EntityRegistrantName_c2026"/>
      <w:bookmarkEnd w:id="6"/>
      <w:r>
        <w:rPr>
          <w:rFonts w:ascii="Times New Roman;Times;Serif" w:hAnsi="Times New Roman;Times;Serif"/>
          <w:b/>
          <w:i w:val="false"/>
          <w:caps w:val="false"/>
          <w:smallCaps w:val="false"/>
          <w:sz w:val="28"/>
        </w:rPr>
        <w:t>CCO Holdings Capital Corp.</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(Exact name of registrant as specified in its charter)</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7" w:name="xdx_90A_edei--EntityIncorporationStateCo"/>
      <w:bookmarkEnd w:id="7"/>
      <w:r>
        <w:rPr>
          <w:rFonts w:ascii="Times New Roman;Times;Serif" w:hAnsi="Times New Roman;Times;Serif"/>
          <w:b/>
          <w:i w:val="false"/>
          <w:caps w:val="false"/>
          <w:smallCaps w:val="false"/>
          <w:sz w:val="20"/>
          <w:u w:val="single"/>
        </w:rPr>
        <w:t>Delaware</w:t>
      </w:r>
      <w:r>
        <w:rPr>
          <w:rFonts w:ascii="Times New Roman;Times;Serif" w:hAnsi="Times New Roman;Times;Serif"/>
          <w:b/>
          <w:i w:val="false"/>
          <w:caps w:val="false"/>
          <w:smallCaps w:val="false"/>
          <w:sz w:val="20"/>
        </w:rPr>
        <w:t xml:space="preserve">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(State or other jurisdiction of incorporation or organization)</w:t>
      </w:r>
    </w:p>
    <w:p>
      <w:pPr>
        <w:pStyle w:val="TextBody"/>
        <w:bidi w:val="0"/>
        <w:spacing w:before="0" w:after="0"/>
        <w:ind w:left="0" w:right="0" w:hanging="0"/>
        <w:jc w:val="left"/>
        <w:rPr>
          <w:caps w:val="false"/>
          <w:smallCaps w:val="false"/>
        </w:rPr>
      </w:pPr>
      <w:r>
        <w:rPr>
          <w:caps w:val="false"/>
          <w:smallCaps w:val="false"/>
        </w:rPr>
        <w:t> </w:t>
      </w:r>
    </w:p>
    <w:tbl>
      <w:tblPr>
        <w:tblW w:w="6550" w:type="dxa"/>
        <w:jc w:val="left"/>
        <w:tblInd w:w="0" w:type="dxa"/>
        <w:tblLayout w:type="fixed"/>
        <w:tblCellMar>
          <w:top w:w="0" w:type="dxa"/>
          <w:left w:w="0" w:type="dxa"/>
          <w:bottom w:w="0" w:type="dxa"/>
          <w:right w:w="0" w:type="dxa"/>
        </w:tblCellMar>
      </w:tblPr>
      <w:tblGrid>
        <w:gridCol w:w="2645"/>
        <w:gridCol w:w="60"/>
        <w:gridCol w:w="3845"/>
      </w:tblGrid>
      <w:tr>
        <w:trPr/>
        <w:tc>
          <w:tcPr>
            <w:tcW w:w="2645" w:type="dxa"/>
            <w:tcBorders/>
            <w:vAlign w:val="center"/>
          </w:tcPr>
          <w:p>
            <w:pPr>
              <w:pStyle w:val="TableContents"/>
              <w:bidi w:val="0"/>
              <w:spacing w:before="0" w:after="283"/>
              <w:jc w:val="center"/>
              <w:rPr>
                <w:b/>
              </w:rPr>
            </w:pPr>
            <w:bookmarkStart w:id="8" w:name="xdx_908_edei--EntityFileNumber_c20260723"/>
            <w:bookmarkEnd w:id="8"/>
            <w:r>
              <w:rPr>
                <w:b/>
              </w:rPr>
              <w:t>001-33664</w:t>
            </w:r>
          </w:p>
        </w:tc>
        <w:tc>
          <w:tcPr>
            <w:tcW w:w="60" w:type="dxa"/>
            <w:tcBorders/>
            <w:vAlign w:val="center"/>
          </w:tcPr>
          <w:p>
            <w:pPr>
              <w:pStyle w:val="TableContents"/>
              <w:bidi w:val="0"/>
              <w:spacing w:before="0" w:after="283"/>
              <w:jc w:val="center"/>
              <w:rPr/>
            </w:pPr>
            <w:r>
              <w:rPr/>
              <w:t> </w:t>
            </w:r>
          </w:p>
        </w:tc>
        <w:tc>
          <w:tcPr>
            <w:tcW w:w="3845" w:type="dxa"/>
            <w:tcBorders/>
            <w:vAlign w:val="center"/>
          </w:tcPr>
          <w:p>
            <w:pPr>
              <w:pStyle w:val="TableContents"/>
              <w:bidi w:val="0"/>
              <w:spacing w:before="0" w:after="283"/>
              <w:jc w:val="center"/>
              <w:rPr>
                <w:b/>
              </w:rPr>
            </w:pPr>
            <w:bookmarkStart w:id="9" w:name="xdx_90A_edei--EntityTaxIdentificationNum"/>
            <w:bookmarkEnd w:id="9"/>
            <w:r>
              <w:rPr>
                <w:b/>
              </w:rPr>
              <w:t>84-1496755</w:t>
            </w:r>
          </w:p>
        </w:tc>
      </w:tr>
      <w:tr>
        <w:trPr/>
        <w:tc>
          <w:tcPr>
            <w:tcW w:w="2645" w:type="dxa"/>
            <w:tcBorders/>
            <w:vAlign w:val="center"/>
          </w:tcPr>
          <w:p>
            <w:pPr>
              <w:pStyle w:val="TableContents"/>
              <w:bidi w:val="0"/>
              <w:spacing w:before="0" w:after="283"/>
              <w:jc w:val="center"/>
              <w:rPr>
                <w:b/>
              </w:rPr>
            </w:pPr>
            <w:bookmarkStart w:id="10" w:name="xdx_90E_edei--EntityFileNumber_c20260723"/>
            <w:bookmarkEnd w:id="10"/>
            <w:r>
              <w:rPr>
                <w:b/>
              </w:rPr>
              <w:t>001-37789</w:t>
            </w:r>
          </w:p>
        </w:tc>
        <w:tc>
          <w:tcPr>
            <w:tcW w:w="60" w:type="dxa"/>
            <w:tcBorders/>
            <w:vAlign w:val="center"/>
          </w:tcPr>
          <w:p>
            <w:pPr>
              <w:pStyle w:val="TableContents"/>
              <w:bidi w:val="0"/>
              <w:spacing w:before="0" w:after="283"/>
              <w:jc w:val="center"/>
              <w:rPr/>
            </w:pPr>
            <w:r>
              <w:rPr/>
              <w:t> </w:t>
            </w:r>
          </w:p>
        </w:tc>
        <w:tc>
          <w:tcPr>
            <w:tcW w:w="3845" w:type="dxa"/>
            <w:tcBorders/>
            <w:vAlign w:val="center"/>
          </w:tcPr>
          <w:p>
            <w:pPr>
              <w:pStyle w:val="TableContents"/>
              <w:bidi w:val="0"/>
              <w:spacing w:before="0" w:after="283"/>
              <w:jc w:val="center"/>
              <w:rPr>
                <w:b/>
              </w:rPr>
            </w:pPr>
            <w:bookmarkStart w:id="11" w:name="xdx_908_edei--EntityTaxIdentificationNum"/>
            <w:bookmarkEnd w:id="11"/>
            <w:r>
              <w:rPr>
                <w:b/>
              </w:rPr>
              <w:t>86-1067239</w:t>
            </w:r>
          </w:p>
        </w:tc>
      </w:tr>
      <w:tr>
        <w:trPr/>
        <w:tc>
          <w:tcPr>
            <w:tcW w:w="2645" w:type="dxa"/>
            <w:tcBorders>
              <w:bottom w:val="single" w:sz="8" w:space="0" w:color="000000"/>
            </w:tcBorders>
            <w:tcMar>
              <w:bottom w:w="28" w:type="dxa"/>
            </w:tcMar>
            <w:vAlign w:val="center"/>
          </w:tcPr>
          <w:p>
            <w:pPr>
              <w:pStyle w:val="TableContents"/>
              <w:bidi w:val="0"/>
              <w:spacing w:before="0" w:after="283"/>
              <w:jc w:val="center"/>
              <w:rPr>
                <w:b/>
              </w:rPr>
            </w:pPr>
            <w:bookmarkStart w:id="12" w:name="xdx_903_edei--EntityFileNumber_c20260723"/>
            <w:bookmarkEnd w:id="12"/>
            <w:r>
              <w:rPr>
                <w:b/>
              </w:rPr>
              <w:t>333-112593-01</w:t>
            </w:r>
          </w:p>
        </w:tc>
        <w:tc>
          <w:tcPr>
            <w:tcW w:w="60" w:type="dxa"/>
            <w:tcBorders/>
            <w:vAlign w:val="center"/>
          </w:tcPr>
          <w:p>
            <w:pPr>
              <w:pStyle w:val="TableContents"/>
              <w:bidi w:val="0"/>
              <w:spacing w:before="0" w:after="283"/>
              <w:jc w:val="center"/>
              <w:rPr/>
            </w:pPr>
            <w:r>
              <w:rPr/>
              <w:t> </w:t>
            </w:r>
          </w:p>
        </w:tc>
        <w:tc>
          <w:tcPr>
            <w:tcW w:w="3845" w:type="dxa"/>
            <w:tcBorders>
              <w:bottom w:val="single" w:sz="8" w:space="0" w:color="000000"/>
            </w:tcBorders>
            <w:tcMar>
              <w:bottom w:w="28" w:type="dxa"/>
            </w:tcMar>
            <w:vAlign w:val="center"/>
          </w:tcPr>
          <w:p>
            <w:pPr>
              <w:pStyle w:val="TableContents"/>
              <w:bidi w:val="0"/>
              <w:spacing w:before="0" w:after="283"/>
              <w:jc w:val="center"/>
              <w:rPr>
                <w:b/>
              </w:rPr>
            </w:pPr>
            <w:bookmarkStart w:id="13" w:name="xdx_907_edei--EntityTaxIdentificationNum"/>
            <w:bookmarkEnd w:id="13"/>
            <w:r>
              <w:rPr>
                <w:b/>
              </w:rPr>
              <w:t>20-0257904</w:t>
            </w:r>
          </w:p>
        </w:tc>
      </w:tr>
      <w:tr>
        <w:trPr/>
        <w:tc>
          <w:tcPr>
            <w:tcW w:w="2645" w:type="dxa"/>
            <w:tcBorders/>
            <w:vAlign w:val="center"/>
          </w:tcPr>
          <w:p>
            <w:pPr>
              <w:pStyle w:val="TableContents"/>
              <w:bidi w:val="0"/>
              <w:spacing w:before="0" w:after="283"/>
              <w:jc w:val="center"/>
              <w:rPr>
                <w:i/>
              </w:rPr>
            </w:pPr>
            <w:r>
              <w:rPr>
                <w:i/>
              </w:rPr>
              <w:t>(Commission File Number)</w:t>
            </w:r>
          </w:p>
        </w:tc>
        <w:tc>
          <w:tcPr>
            <w:tcW w:w="60" w:type="dxa"/>
            <w:tcBorders/>
            <w:vAlign w:val="center"/>
          </w:tcPr>
          <w:p>
            <w:pPr>
              <w:pStyle w:val="TableContents"/>
              <w:bidi w:val="0"/>
              <w:spacing w:before="0" w:after="283"/>
              <w:jc w:val="center"/>
              <w:rPr/>
            </w:pPr>
            <w:r>
              <w:rPr/>
              <w:t> </w:t>
            </w:r>
          </w:p>
        </w:tc>
        <w:tc>
          <w:tcPr>
            <w:tcW w:w="3845" w:type="dxa"/>
            <w:tcBorders/>
            <w:vAlign w:val="center"/>
          </w:tcPr>
          <w:p>
            <w:pPr>
              <w:pStyle w:val="TableContents"/>
              <w:bidi w:val="0"/>
              <w:spacing w:before="0" w:after="283"/>
              <w:jc w:val="center"/>
              <w:rPr>
                <w:i/>
              </w:rPr>
            </w:pPr>
            <w:r>
              <w:rPr>
                <w:i/>
              </w:rPr>
              <w:t>(I.R.S. Employer Identification Number)</w:t>
            </w:r>
          </w:p>
        </w:tc>
      </w:tr>
    </w:tbl>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4" w:name="xdx_901_edei--EntityAddressAddressLine1_"/>
      <w:bookmarkEnd w:id="14"/>
      <w:r>
        <w:rPr>
          <w:rFonts w:ascii="Times New Roman;Times;Serif" w:hAnsi="Times New Roman;Times;Serif"/>
          <w:b/>
          <w:i w:val="false"/>
          <w:caps w:val="false"/>
          <w:smallCaps w:val="false"/>
          <w:sz w:val="20"/>
        </w:rPr>
        <w:t xml:space="preserve">400 Washington Blvd.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bookmarkStart w:id="15" w:name="xdx_903_edei--EntityAddressCityOrTown_c2"/>
      <w:bookmarkEnd w:id="15"/>
      <w:r>
        <w:rPr>
          <w:rFonts w:ascii="Times New Roman;Times;Serif" w:hAnsi="Times New Roman;Times;Serif"/>
          <w:b/>
          <w:i w:val="false"/>
          <w:caps w:val="false"/>
          <w:smallCaps w:val="false"/>
          <w:sz w:val="20"/>
          <w:u w:val="single"/>
        </w:rPr>
        <w:t xml:space="preserve">Stamford, </w:t>
      </w:r>
      <w:bookmarkStart w:id="16" w:name="xdx_901_edei--EntityAddressStateOrProvin"/>
      <w:bookmarkEnd w:id="16"/>
      <w:r>
        <w:rPr>
          <w:rFonts w:ascii="Times New Roman;Times;Serif" w:hAnsi="Times New Roman;Times;Serif"/>
          <w:b/>
          <w:i w:val="false"/>
          <w:caps w:val="false"/>
          <w:smallCaps w:val="false"/>
          <w:sz w:val="20"/>
          <w:u w:val="single"/>
        </w:rPr>
        <w:t xml:space="preserve">Connecticut </w:t>
      </w:r>
      <w:bookmarkStart w:id="17" w:name="xdx_90F_edei--EntityAddressPostalZipCode"/>
      <w:bookmarkEnd w:id="17"/>
      <w:r>
        <w:rPr>
          <w:rFonts w:ascii="Times New Roman;Times;Serif" w:hAnsi="Times New Roman;Times;Serif"/>
          <w:b/>
          <w:i w:val="false"/>
          <w:caps w:val="false"/>
          <w:smallCaps w:val="false"/>
          <w:sz w:val="20"/>
          <w:u w:val="single"/>
        </w:rPr>
        <w:t xml:space="preserve">06902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(Address of principal executive offices including zip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w:t>
      </w:r>
      <w:bookmarkStart w:id="18" w:name="xdx_908_edei--CityAreaCode_c20260723__20"/>
      <w:bookmarkEnd w:id="18"/>
      <w:r>
        <w:rPr>
          <w:rFonts w:ascii="Times New Roman;Times;Serif" w:hAnsi="Times New Roman;Times;Serif"/>
          <w:b/>
          <w:i w:val="false"/>
          <w:caps w:val="false"/>
          <w:smallCaps w:val="false"/>
          <w:sz w:val="20"/>
          <w:u w:val="single"/>
        </w:rPr>
        <w:t xml:space="preserve">203) </w:t>
      </w:r>
      <w:bookmarkStart w:id="19" w:name="xdx_901_edei--LocalPhoneNumber_c20260723"/>
      <w:bookmarkEnd w:id="19"/>
      <w:r>
        <w:rPr>
          <w:rFonts w:ascii="Times New Roman;Times;Serif" w:hAnsi="Times New Roman;Times;Serif"/>
          <w:b/>
          <w:i w:val="false"/>
          <w:caps w:val="false"/>
          <w:smallCaps w:val="false"/>
          <w:sz w:val="20"/>
          <w:u w:val="single"/>
        </w:rPr>
        <w:t>905-7801</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(Registrant’s telephone number, including area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Not Applicable</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(Former name or former address, if changed since last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8793" w:type="dxa"/>
        <w:jc w:val="left"/>
        <w:tblInd w:w="0" w:type="dxa"/>
        <w:tblLayout w:type="fixed"/>
        <w:tblCellMar>
          <w:top w:w="0" w:type="dxa"/>
          <w:left w:w="0" w:type="dxa"/>
          <w:bottom w:w="0" w:type="dxa"/>
          <w:right w:w="0" w:type="dxa"/>
        </w:tblCellMar>
      </w:tblPr>
      <w:tblGrid>
        <w:gridCol w:w="38"/>
        <w:gridCol w:w="230"/>
        <w:gridCol w:w="852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20" w:name="xdx_90F_edei--WrittenCommunications_c202"/>
            <w:bookmarkEnd w:id="20"/>
            <w:r>
              <w:rPr/>
              <w:t>☐</w:t>
            </w:r>
          </w:p>
        </w:tc>
        <w:tc>
          <w:tcPr>
            <w:tcW w:w="852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Written communications pursuant to Rule 425 under the Securities Act (17 CFR 230.425)</w:t>
            </w:r>
          </w:p>
        </w:tc>
      </w:tr>
    </w:tbl>
    <w:tbl>
      <w:tblPr>
        <w:tblW w:w="8823" w:type="dxa"/>
        <w:jc w:val="left"/>
        <w:tblInd w:w="0" w:type="dxa"/>
        <w:tblLayout w:type="fixed"/>
        <w:tblCellMar>
          <w:top w:w="0" w:type="dxa"/>
          <w:left w:w="0" w:type="dxa"/>
          <w:bottom w:w="0" w:type="dxa"/>
          <w:right w:w="0" w:type="dxa"/>
        </w:tblCellMar>
      </w:tblPr>
      <w:tblGrid>
        <w:gridCol w:w="38"/>
        <w:gridCol w:w="230"/>
        <w:gridCol w:w="855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21" w:name="xdx_906_edei--SolicitingMaterial_c202607"/>
            <w:bookmarkEnd w:id="21"/>
            <w:r>
              <w:rPr/>
              <w:t>☐</w:t>
            </w:r>
          </w:p>
        </w:tc>
        <w:tc>
          <w:tcPr>
            <w:tcW w:w="855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Soliciting material pursuant to Rule 14a-12 under the Exchange Act (17 CFR 240.14a-12)</w:t>
            </w:r>
          </w:p>
        </w:tc>
      </w:tr>
    </w:tbl>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22" w:name="xdx_905_edei--PreCommencementTenderOffer"/>
            <w:bookmarkEnd w:id="22"/>
            <w:r>
              <w:rPr/>
              <w:t>☐</w:t>
            </w:r>
          </w:p>
        </w:tc>
        <w:tc>
          <w:tcPr>
            <w:tcW w:w="993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Pre-commencement communications pursuant to Rule 14d-2(b) under the Exchange Act (17 CFR 240.14d-2(b))</w:t>
            </w:r>
          </w:p>
        </w:tc>
      </w:tr>
    </w:tbl>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23" w:name="xdx_90A_edei--PreCommencementIssuerTende"/>
            <w:bookmarkEnd w:id="23"/>
            <w:r>
              <w:rPr/>
              <w:t>☐</w:t>
            </w:r>
          </w:p>
        </w:tc>
        <w:tc>
          <w:tcPr>
            <w:tcW w:w="993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color w:val="1F497D"/>
        </w:rPr>
      </w:pPr>
      <w:r>
        <w:rPr>
          <w:caps w:val="false"/>
          <w:smallCaps w:val="false"/>
          <w:color w:val="1F497D"/>
        </w:rPr>
        <w:t> </w:t>
      </w:r>
    </w:p>
    <w:tbl>
      <w:tblPr>
        <w:tblW w:w="8460" w:type="dxa"/>
        <w:jc w:val="left"/>
        <w:tblInd w:w="-10" w:type="dxa"/>
        <w:tblLayout w:type="fixed"/>
        <w:tblCellMar>
          <w:top w:w="28" w:type="dxa"/>
          <w:left w:w="108" w:type="dxa"/>
          <w:bottom w:w="28" w:type="dxa"/>
          <w:right w:w="0" w:type="dxa"/>
        </w:tblCellMar>
      </w:tblPr>
      <w:tblGrid>
        <w:gridCol w:w="3335"/>
        <w:gridCol w:w="1535"/>
        <w:gridCol w:w="3590"/>
      </w:tblGrid>
      <w:tr>
        <w:trPr/>
        <w:tc>
          <w:tcPr>
            <w:tcW w:w="3335" w:type="dxa"/>
            <w:tcBorders>
              <w:top w:val="single" w:sz="8" w:space="0" w:color="000000"/>
              <w:left w:val="single" w:sz="8" w:space="0" w:color="000000"/>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of each class</w:t>
            </w:r>
          </w:p>
        </w:tc>
        <w:tc>
          <w:tcPr>
            <w:tcW w:w="1535" w:type="dxa"/>
            <w:tcBorders>
              <w:top w:val="single" w:sz="8" w:space="0" w:color="000000"/>
              <w:left w:val="single" w:sz="8" w:space="0" w:color="000000"/>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Trading Symbol(s)</w:t>
            </w:r>
          </w:p>
        </w:tc>
        <w:tc>
          <w:tcPr>
            <w:tcW w:w="3590" w:type="dxa"/>
            <w:tcBorders>
              <w:top w:val="single" w:sz="8" w:space="0" w:color="000000"/>
              <w:left w:val="single" w:sz="8" w:space="0" w:color="000000"/>
              <w:bottom w:val="single" w:sz="8" w:space="0" w:color="000000"/>
              <w:right w:val="single" w:sz="8" w:space="0" w:color="000000"/>
            </w:tcBorders>
            <w:tcMar>
              <w:right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each exchange on which registered</w:t>
            </w:r>
          </w:p>
        </w:tc>
      </w:tr>
      <w:tr>
        <w:trPr/>
        <w:tc>
          <w:tcPr>
            <w:tcW w:w="3335" w:type="dxa"/>
            <w:tcBorders>
              <w:left w:val="single" w:sz="8" w:space="0" w:color="000000"/>
              <w:bottom w:val="single" w:sz="8" w:space="0" w:color="000000"/>
            </w:tcBorders>
            <w:tcMar>
              <w:top w:w="0" w:type="dxa"/>
            </w:tcMar>
            <w:vAlign w:val="center"/>
          </w:tcPr>
          <w:p>
            <w:pPr>
              <w:pStyle w:val="TableContents"/>
              <w:bidi w:val="0"/>
              <w:spacing w:before="0" w:after="283"/>
              <w:jc w:val="center"/>
              <w:rPr>
                <w:sz w:val="20"/>
              </w:rPr>
            </w:pPr>
            <w:bookmarkStart w:id="24" w:name="xdx_90A_edei--Security12bTitle_c20260723"/>
            <w:bookmarkEnd w:id="24"/>
            <w:r>
              <w:rPr>
                <w:sz w:val="20"/>
              </w:rPr>
              <w:t>Class A Common Stock, $.001 Par Value</w:t>
            </w:r>
          </w:p>
        </w:tc>
        <w:tc>
          <w:tcPr>
            <w:tcW w:w="1535" w:type="dxa"/>
            <w:tcBorders>
              <w:left w:val="single" w:sz="8" w:space="0" w:color="000000"/>
              <w:bottom w:val="single" w:sz="8" w:space="0" w:color="000000"/>
            </w:tcBorders>
            <w:tcMar>
              <w:top w:w="0" w:type="dxa"/>
            </w:tcMar>
            <w:vAlign w:val="center"/>
          </w:tcPr>
          <w:p>
            <w:pPr>
              <w:pStyle w:val="TableContents"/>
              <w:bidi w:val="0"/>
              <w:spacing w:before="0" w:after="283"/>
              <w:jc w:val="center"/>
              <w:rPr>
                <w:sz w:val="20"/>
              </w:rPr>
            </w:pPr>
            <w:bookmarkStart w:id="25" w:name="xdx_90A_edei--TradingSymbol_c20260723__2"/>
            <w:bookmarkEnd w:id="25"/>
            <w:r>
              <w:rPr>
                <w:sz w:val="20"/>
              </w:rPr>
              <w:t>CHTR</w:t>
            </w:r>
          </w:p>
        </w:tc>
        <w:tc>
          <w:tcPr>
            <w:tcW w:w="3590" w:type="dxa"/>
            <w:tcBorders>
              <w:left w:val="single" w:sz="8" w:space="0" w:color="000000"/>
              <w:bottom w:val="single" w:sz="8" w:space="0" w:color="000000"/>
              <w:right w:val="single" w:sz="8" w:space="0" w:color="000000"/>
            </w:tcBorders>
            <w:tcMar>
              <w:top w:w="0" w:type="dxa"/>
              <w:right w:w="28" w:type="dxa"/>
            </w:tcMar>
            <w:vAlign w:val="center"/>
          </w:tcPr>
          <w:p>
            <w:pPr>
              <w:pStyle w:val="TableContents"/>
              <w:bidi w:val="0"/>
              <w:spacing w:before="0" w:after="283"/>
              <w:jc w:val="center"/>
              <w:rPr>
                <w:sz w:val="20"/>
              </w:rPr>
            </w:pPr>
            <w:bookmarkStart w:id="26" w:name="xdx_90E_edei--SecurityExchangeName_c2026"/>
            <w:bookmarkEnd w:id="26"/>
            <w:r>
              <w:rPr>
                <w:sz w:val="20"/>
              </w:rPr>
              <w:t>NASDAQ Global Select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(§240.12b- 2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7" w:name="xdx_900_edei--EntityEmergingGrowthCompan"/>
      <w:bookmarkEnd w:id="27"/>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tbl>
      <w:tblPr>
        <w:tblW w:w="7375" w:type="dxa"/>
        <w:jc w:val="left"/>
        <w:tblInd w:w="0" w:type="dxa"/>
        <w:tblLayout w:type="fixed"/>
        <w:tblCellMar>
          <w:top w:w="0" w:type="dxa"/>
          <w:left w:w="0" w:type="dxa"/>
          <w:bottom w:w="0" w:type="dxa"/>
          <w:right w:w="0" w:type="dxa"/>
        </w:tblCellMar>
      </w:tblPr>
      <w:tblGrid>
        <w:gridCol w:w="5195"/>
        <w:gridCol w:w="2180"/>
      </w:tblGrid>
      <w:tr>
        <w:trPr/>
        <w:tc>
          <w:tcPr>
            <w:tcW w:w="5195" w:type="dxa"/>
            <w:tcBorders/>
            <w:vAlign w:val="center"/>
          </w:tcPr>
          <w:p>
            <w:pPr>
              <w:pStyle w:val="TableContents"/>
              <w:bidi w:val="0"/>
              <w:spacing w:before="0" w:after="283"/>
              <w:jc w:val="left"/>
              <w:rPr/>
            </w:pPr>
            <w:r>
              <w:rPr/>
              <w:t>Co-Registrant CIK</w:t>
            </w:r>
          </w:p>
        </w:tc>
        <w:tc>
          <w:tcPr>
            <w:tcW w:w="2180" w:type="dxa"/>
            <w:tcBorders/>
            <w:vAlign w:val="center"/>
          </w:tcPr>
          <w:p>
            <w:pPr>
              <w:pStyle w:val="TableContents"/>
              <w:bidi w:val="0"/>
              <w:spacing w:before="0" w:after="283"/>
              <w:jc w:val="left"/>
              <w:rPr/>
            </w:pPr>
            <w:bookmarkStart w:id="28" w:name="xdx_90E_edei--EntityCentralIndexKey_dxL_"/>
            <w:bookmarkEnd w:id="28"/>
            <w:r>
              <w:rPr/>
              <w:t>0001271833</w:t>
            </w:r>
          </w:p>
        </w:tc>
      </w:tr>
      <w:tr>
        <w:trPr/>
        <w:tc>
          <w:tcPr>
            <w:tcW w:w="5195" w:type="dxa"/>
            <w:tcBorders/>
            <w:vAlign w:val="center"/>
          </w:tcPr>
          <w:p>
            <w:pPr>
              <w:pStyle w:val="TableContents"/>
              <w:bidi w:val="0"/>
              <w:spacing w:before="0" w:after="283"/>
              <w:jc w:val="left"/>
              <w:rPr/>
            </w:pPr>
            <w:r>
              <w:rPr/>
              <w:t>Co-Registrant Amendment Flag</w:t>
            </w:r>
          </w:p>
        </w:tc>
        <w:tc>
          <w:tcPr>
            <w:tcW w:w="2180" w:type="dxa"/>
            <w:tcBorders/>
            <w:vAlign w:val="center"/>
          </w:tcPr>
          <w:p>
            <w:pPr>
              <w:pStyle w:val="TableContents"/>
              <w:bidi w:val="0"/>
              <w:spacing w:before="0" w:after="283"/>
              <w:jc w:val="left"/>
              <w:rPr/>
            </w:pPr>
            <w:bookmarkStart w:id="29" w:name="xdx_900_edei--AmendmentFlag_dxL_c2026072"/>
            <w:bookmarkEnd w:id="29"/>
            <w:r>
              <w:rPr/>
              <w:t>false</w:t>
            </w:r>
          </w:p>
        </w:tc>
      </w:tr>
      <w:tr>
        <w:trPr/>
        <w:tc>
          <w:tcPr>
            <w:tcW w:w="5195" w:type="dxa"/>
            <w:tcBorders/>
            <w:vAlign w:val="center"/>
          </w:tcPr>
          <w:p>
            <w:pPr>
              <w:pStyle w:val="TableContents"/>
              <w:bidi w:val="0"/>
              <w:spacing w:before="0" w:after="283"/>
              <w:jc w:val="left"/>
              <w:rPr/>
            </w:pPr>
            <w:r>
              <w:rPr/>
              <w:t>Co-Registrant Form Type</w:t>
            </w:r>
          </w:p>
        </w:tc>
        <w:tc>
          <w:tcPr>
            <w:tcW w:w="2180" w:type="dxa"/>
            <w:tcBorders/>
            <w:vAlign w:val="center"/>
          </w:tcPr>
          <w:p>
            <w:pPr>
              <w:pStyle w:val="TableContents"/>
              <w:bidi w:val="0"/>
              <w:spacing w:before="0" w:after="283"/>
              <w:jc w:val="left"/>
              <w:rPr/>
            </w:pPr>
            <w:bookmarkStart w:id="30" w:name="xdx_906_edei--DocumentType_dxL_c20260723"/>
            <w:bookmarkEnd w:id="30"/>
            <w:r>
              <w:rPr/>
              <w:t>8-K</w:t>
            </w:r>
          </w:p>
        </w:tc>
      </w:tr>
      <w:tr>
        <w:trPr/>
        <w:tc>
          <w:tcPr>
            <w:tcW w:w="5195" w:type="dxa"/>
            <w:tcBorders/>
            <w:vAlign w:val="center"/>
          </w:tcPr>
          <w:p>
            <w:pPr>
              <w:pStyle w:val="TableContents"/>
              <w:bidi w:val="0"/>
              <w:spacing w:before="0" w:after="283"/>
              <w:jc w:val="left"/>
              <w:rPr/>
            </w:pPr>
            <w:r>
              <w:rPr/>
              <w:t>Co-Registrant DocumentPeriodEndDate</w:t>
            </w:r>
          </w:p>
        </w:tc>
        <w:tc>
          <w:tcPr>
            <w:tcW w:w="2180" w:type="dxa"/>
            <w:tcBorders/>
            <w:vAlign w:val="center"/>
          </w:tcPr>
          <w:p>
            <w:pPr>
              <w:pStyle w:val="TableContents"/>
              <w:bidi w:val="0"/>
              <w:spacing w:before="0" w:after="283"/>
              <w:jc w:val="left"/>
              <w:rPr/>
            </w:pPr>
            <w:bookmarkStart w:id="31" w:name="xdx_908_edei--DocumentPeriodEndDate_dxL_"/>
            <w:bookmarkEnd w:id="31"/>
            <w:r>
              <w:rPr/>
              <w:t>2026-07-23</w:t>
            </w:r>
          </w:p>
        </w:tc>
      </w:tr>
      <w:tr>
        <w:trPr/>
        <w:tc>
          <w:tcPr>
            <w:tcW w:w="5195" w:type="dxa"/>
            <w:tcBorders/>
            <w:vAlign w:val="center"/>
          </w:tcPr>
          <w:p>
            <w:pPr>
              <w:pStyle w:val="TableContents"/>
              <w:bidi w:val="0"/>
              <w:spacing w:before="0" w:after="283"/>
              <w:jc w:val="left"/>
              <w:rPr/>
            </w:pPr>
            <w:r>
              <w:rPr/>
              <w:t>Incorporate State Country Code</w:t>
            </w:r>
          </w:p>
        </w:tc>
        <w:tc>
          <w:tcPr>
            <w:tcW w:w="2180" w:type="dxa"/>
            <w:tcBorders/>
            <w:vAlign w:val="center"/>
          </w:tcPr>
          <w:p>
            <w:pPr>
              <w:pStyle w:val="TableContents"/>
              <w:bidi w:val="0"/>
              <w:spacing w:before="0" w:after="283"/>
              <w:jc w:val="left"/>
              <w:rPr/>
            </w:pPr>
            <w:bookmarkStart w:id="32" w:name="xdx_909_edei--EntityIncorporationStateCo"/>
            <w:bookmarkEnd w:id="32"/>
            <w:r>
              <w:rPr/>
              <w:t>Delaware</w:t>
            </w:r>
          </w:p>
        </w:tc>
      </w:tr>
      <w:tr>
        <w:trPr/>
        <w:tc>
          <w:tcPr>
            <w:tcW w:w="5195" w:type="dxa"/>
            <w:tcBorders/>
            <w:vAlign w:val="center"/>
          </w:tcPr>
          <w:p>
            <w:pPr>
              <w:pStyle w:val="TableContents"/>
              <w:bidi w:val="0"/>
              <w:spacing w:before="0" w:after="283"/>
              <w:jc w:val="left"/>
              <w:rPr/>
            </w:pPr>
            <w:r>
              <w:rPr/>
              <w:t>Co-Registrant Written Communications</w:t>
            </w:r>
          </w:p>
        </w:tc>
        <w:tc>
          <w:tcPr>
            <w:tcW w:w="2180" w:type="dxa"/>
            <w:tcBorders/>
            <w:vAlign w:val="center"/>
          </w:tcPr>
          <w:p>
            <w:pPr>
              <w:pStyle w:val="TableContents"/>
              <w:bidi w:val="0"/>
              <w:spacing w:before="0" w:after="283"/>
              <w:jc w:val="left"/>
              <w:rPr/>
            </w:pPr>
            <w:bookmarkStart w:id="33" w:name="xdx_901_edei--WrittenCommunications_dxL_"/>
            <w:bookmarkEnd w:id="33"/>
            <w:r>
              <w:rPr/>
              <w:t>false</w:t>
            </w:r>
          </w:p>
        </w:tc>
      </w:tr>
      <w:tr>
        <w:trPr/>
        <w:tc>
          <w:tcPr>
            <w:tcW w:w="5195" w:type="dxa"/>
            <w:tcBorders/>
            <w:vAlign w:val="center"/>
          </w:tcPr>
          <w:p>
            <w:pPr>
              <w:pStyle w:val="TableContents"/>
              <w:bidi w:val="0"/>
              <w:spacing w:before="0" w:after="283"/>
              <w:jc w:val="left"/>
              <w:rPr/>
            </w:pPr>
            <w:r>
              <w:rPr/>
              <w:t>Co-Registrant Solicitating Materials</w:t>
            </w:r>
          </w:p>
        </w:tc>
        <w:tc>
          <w:tcPr>
            <w:tcW w:w="2180" w:type="dxa"/>
            <w:tcBorders/>
            <w:vAlign w:val="center"/>
          </w:tcPr>
          <w:p>
            <w:pPr>
              <w:pStyle w:val="TableContents"/>
              <w:bidi w:val="0"/>
              <w:spacing w:before="0" w:after="283"/>
              <w:jc w:val="left"/>
              <w:rPr/>
            </w:pPr>
            <w:bookmarkStart w:id="34" w:name="xdx_90C_edei--SolicitingMaterial_dxL_c20"/>
            <w:bookmarkEnd w:id="34"/>
            <w:r>
              <w:rPr/>
              <w:t>false</w:t>
            </w:r>
          </w:p>
        </w:tc>
      </w:tr>
      <w:tr>
        <w:trPr/>
        <w:tc>
          <w:tcPr>
            <w:tcW w:w="5195" w:type="dxa"/>
            <w:tcBorders/>
            <w:vAlign w:val="center"/>
          </w:tcPr>
          <w:p>
            <w:pPr>
              <w:pStyle w:val="TableContents"/>
              <w:bidi w:val="0"/>
              <w:spacing w:before="0" w:after="283"/>
              <w:jc w:val="left"/>
              <w:rPr/>
            </w:pPr>
            <w:r>
              <w:rPr/>
              <w:t>Co-Registrant PreCommencement Tender Offer</w:t>
            </w:r>
          </w:p>
        </w:tc>
        <w:tc>
          <w:tcPr>
            <w:tcW w:w="2180" w:type="dxa"/>
            <w:tcBorders/>
            <w:vAlign w:val="center"/>
          </w:tcPr>
          <w:p>
            <w:pPr>
              <w:pStyle w:val="TableContents"/>
              <w:bidi w:val="0"/>
              <w:spacing w:before="0" w:after="283"/>
              <w:jc w:val="left"/>
              <w:rPr/>
            </w:pPr>
            <w:bookmarkStart w:id="35" w:name="xdx_907_edei--PreCommencementTenderOffer"/>
            <w:bookmarkEnd w:id="35"/>
            <w:r>
              <w:rPr/>
              <w:t>false</w:t>
            </w:r>
          </w:p>
        </w:tc>
      </w:tr>
      <w:tr>
        <w:trPr/>
        <w:tc>
          <w:tcPr>
            <w:tcW w:w="5195" w:type="dxa"/>
            <w:tcBorders/>
            <w:vAlign w:val="center"/>
          </w:tcPr>
          <w:p>
            <w:pPr>
              <w:pStyle w:val="TableContents"/>
              <w:bidi w:val="0"/>
              <w:spacing w:before="0" w:after="283"/>
              <w:jc w:val="left"/>
              <w:rPr/>
            </w:pPr>
            <w:r>
              <w:rPr/>
              <w:t>Co-Registrant PreCommencement Issuer Tender Offer</w:t>
            </w:r>
          </w:p>
        </w:tc>
        <w:tc>
          <w:tcPr>
            <w:tcW w:w="2180" w:type="dxa"/>
            <w:tcBorders/>
            <w:vAlign w:val="center"/>
          </w:tcPr>
          <w:p>
            <w:pPr>
              <w:pStyle w:val="TableContents"/>
              <w:bidi w:val="0"/>
              <w:spacing w:before="0" w:after="283"/>
              <w:jc w:val="left"/>
              <w:rPr/>
            </w:pPr>
            <w:bookmarkStart w:id="36" w:name="xdx_901_edei--PreCommencementIssuerTende"/>
            <w:bookmarkEnd w:id="36"/>
            <w:r>
              <w:rPr/>
              <w:t>false</w:t>
            </w:r>
          </w:p>
        </w:tc>
      </w:tr>
      <w:tr>
        <w:trPr/>
        <w:tc>
          <w:tcPr>
            <w:tcW w:w="5195" w:type="dxa"/>
            <w:tcBorders/>
            <w:vAlign w:val="center"/>
          </w:tcPr>
          <w:p>
            <w:pPr>
              <w:pStyle w:val="TableContents"/>
              <w:bidi w:val="0"/>
              <w:spacing w:before="0" w:after="283"/>
              <w:jc w:val="left"/>
              <w:rPr/>
            </w:pPr>
            <w:r>
              <w:rPr/>
              <w:t>Co-Registrant AddressLine1</w:t>
            </w:r>
          </w:p>
        </w:tc>
        <w:tc>
          <w:tcPr>
            <w:tcW w:w="2180" w:type="dxa"/>
            <w:tcBorders/>
            <w:vAlign w:val="center"/>
          </w:tcPr>
          <w:p>
            <w:pPr>
              <w:pStyle w:val="TableContents"/>
              <w:bidi w:val="0"/>
              <w:spacing w:before="0" w:after="283"/>
              <w:jc w:val="left"/>
              <w:rPr/>
            </w:pPr>
            <w:bookmarkStart w:id="37" w:name="xdx_900_edei--EntityAddressAddressLine1_"/>
            <w:bookmarkEnd w:id="37"/>
            <w:r>
              <w:rPr/>
              <w:t>400 Washington Blvd.</w:t>
            </w:r>
          </w:p>
        </w:tc>
      </w:tr>
      <w:tr>
        <w:trPr/>
        <w:tc>
          <w:tcPr>
            <w:tcW w:w="5195" w:type="dxa"/>
            <w:tcBorders/>
            <w:vAlign w:val="center"/>
          </w:tcPr>
          <w:p>
            <w:pPr>
              <w:pStyle w:val="TableContents"/>
              <w:bidi w:val="0"/>
              <w:spacing w:before="0" w:after="283"/>
              <w:jc w:val="left"/>
              <w:rPr/>
            </w:pPr>
            <w:r>
              <w:rPr/>
              <w:t>Co-Registrant City or Town</w:t>
            </w:r>
          </w:p>
        </w:tc>
        <w:tc>
          <w:tcPr>
            <w:tcW w:w="2180" w:type="dxa"/>
            <w:tcBorders/>
            <w:vAlign w:val="center"/>
          </w:tcPr>
          <w:p>
            <w:pPr>
              <w:pStyle w:val="TableContents"/>
              <w:bidi w:val="0"/>
              <w:spacing w:before="0" w:after="283"/>
              <w:jc w:val="left"/>
              <w:rPr/>
            </w:pPr>
            <w:bookmarkStart w:id="38" w:name="xdx_909_edei--EntityAddressCityOrTown_dx"/>
            <w:bookmarkEnd w:id="38"/>
            <w:r>
              <w:rPr/>
              <w:t>Stamford</w:t>
            </w:r>
          </w:p>
        </w:tc>
      </w:tr>
      <w:tr>
        <w:trPr/>
        <w:tc>
          <w:tcPr>
            <w:tcW w:w="5195" w:type="dxa"/>
            <w:tcBorders/>
            <w:vAlign w:val="center"/>
          </w:tcPr>
          <w:p>
            <w:pPr>
              <w:pStyle w:val="TableContents"/>
              <w:bidi w:val="0"/>
              <w:spacing w:before="0" w:after="283"/>
              <w:jc w:val="left"/>
              <w:rPr/>
            </w:pPr>
            <w:r>
              <w:rPr/>
              <w:t>Co-Registrant State</w:t>
            </w:r>
          </w:p>
        </w:tc>
        <w:tc>
          <w:tcPr>
            <w:tcW w:w="2180" w:type="dxa"/>
            <w:tcBorders/>
            <w:vAlign w:val="center"/>
          </w:tcPr>
          <w:p>
            <w:pPr>
              <w:pStyle w:val="TableContents"/>
              <w:bidi w:val="0"/>
              <w:spacing w:before="0" w:after="283"/>
              <w:jc w:val="left"/>
              <w:rPr/>
            </w:pPr>
            <w:bookmarkStart w:id="39" w:name="xdx_90F_edei--EntityAddressStateOrProvin"/>
            <w:bookmarkEnd w:id="39"/>
            <w:r>
              <w:rPr/>
              <w:t>Connecticut</w:t>
            </w:r>
          </w:p>
        </w:tc>
      </w:tr>
      <w:tr>
        <w:trPr/>
        <w:tc>
          <w:tcPr>
            <w:tcW w:w="5195" w:type="dxa"/>
            <w:tcBorders/>
            <w:vAlign w:val="center"/>
          </w:tcPr>
          <w:p>
            <w:pPr>
              <w:pStyle w:val="TableContents"/>
              <w:bidi w:val="0"/>
              <w:spacing w:before="0" w:after="283"/>
              <w:jc w:val="left"/>
              <w:rPr/>
            </w:pPr>
            <w:r>
              <w:rPr/>
              <w:t>Co-Registrant Postal Zip code</w:t>
            </w:r>
          </w:p>
        </w:tc>
        <w:tc>
          <w:tcPr>
            <w:tcW w:w="2180" w:type="dxa"/>
            <w:tcBorders/>
            <w:vAlign w:val="center"/>
          </w:tcPr>
          <w:p>
            <w:pPr>
              <w:pStyle w:val="TableContents"/>
              <w:bidi w:val="0"/>
              <w:spacing w:before="0" w:after="283"/>
              <w:jc w:val="left"/>
              <w:rPr/>
            </w:pPr>
            <w:bookmarkStart w:id="40" w:name="xdx_907_edei--EntityAddressPostalZipCode"/>
            <w:bookmarkEnd w:id="40"/>
            <w:r>
              <w:rPr/>
              <w:t>06901</w:t>
            </w:r>
          </w:p>
        </w:tc>
      </w:tr>
      <w:tr>
        <w:trPr/>
        <w:tc>
          <w:tcPr>
            <w:tcW w:w="5195" w:type="dxa"/>
            <w:tcBorders/>
            <w:vAlign w:val="center"/>
          </w:tcPr>
          <w:p>
            <w:pPr>
              <w:pStyle w:val="TableContents"/>
              <w:bidi w:val="0"/>
              <w:spacing w:before="0" w:after="283"/>
              <w:jc w:val="left"/>
              <w:rPr/>
            </w:pPr>
            <w:r>
              <w:rPr/>
              <w:t>Co-Registrant City area code</w:t>
            </w:r>
          </w:p>
        </w:tc>
        <w:tc>
          <w:tcPr>
            <w:tcW w:w="2180" w:type="dxa"/>
            <w:tcBorders/>
            <w:vAlign w:val="center"/>
          </w:tcPr>
          <w:p>
            <w:pPr>
              <w:pStyle w:val="TableContents"/>
              <w:bidi w:val="0"/>
              <w:spacing w:before="0" w:after="283"/>
              <w:jc w:val="left"/>
              <w:rPr/>
            </w:pPr>
            <w:bookmarkStart w:id="41" w:name="xdx_90C_edei--CityAreaCode_dxL_c20260723"/>
            <w:bookmarkEnd w:id="41"/>
            <w:r>
              <w:rPr/>
              <w:t>203</w:t>
            </w:r>
          </w:p>
        </w:tc>
      </w:tr>
      <w:tr>
        <w:trPr/>
        <w:tc>
          <w:tcPr>
            <w:tcW w:w="5195" w:type="dxa"/>
            <w:tcBorders/>
            <w:vAlign w:val="center"/>
          </w:tcPr>
          <w:p>
            <w:pPr>
              <w:pStyle w:val="TableContents"/>
              <w:bidi w:val="0"/>
              <w:spacing w:before="0" w:after="283"/>
              <w:jc w:val="left"/>
              <w:rPr/>
            </w:pPr>
            <w:r>
              <w:rPr/>
              <w:t>Co-Registrant Local Phone number</w:t>
            </w:r>
          </w:p>
        </w:tc>
        <w:tc>
          <w:tcPr>
            <w:tcW w:w="2180" w:type="dxa"/>
            <w:tcBorders/>
            <w:vAlign w:val="center"/>
          </w:tcPr>
          <w:p>
            <w:pPr>
              <w:pStyle w:val="TableContents"/>
              <w:bidi w:val="0"/>
              <w:spacing w:before="0" w:after="283"/>
              <w:jc w:val="left"/>
              <w:rPr/>
            </w:pPr>
            <w:bookmarkStart w:id="42" w:name="xdx_905_edei--LocalPhoneNumber_dxL_c2026"/>
            <w:bookmarkEnd w:id="42"/>
            <w:r>
              <w:rPr/>
              <w:t>905-7801</w:t>
            </w:r>
          </w:p>
        </w:tc>
      </w:tr>
      <w:tr>
        <w:trPr/>
        <w:tc>
          <w:tcPr>
            <w:tcW w:w="5195" w:type="dxa"/>
            <w:tcBorders/>
            <w:vAlign w:val="center"/>
          </w:tcPr>
          <w:p>
            <w:pPr>
              <w:pStyle w:val="TableContents"/>
              <w:bidi w:val="0"/>
              <w:spacing w:before="0" w:after="283"/>
              <w:jc w:val="left"/>
              <w:rPr/>
            </w:pPr>
            <w:r>
              <w:rPr/>
              <w:t>Co-Registrant Emerging Growth Company</w:t>
            </w:r>
          </w:p>
        </w:tc>
        <w:tc>
          <w:tcPr>
            <w:tcW w:w="2180" w:type="dxa"/>
            <w:tcBorders/>
            <w:vAlign w:val="center"/>
          </w:tcPr>
          <w:p>
            <w:pPr>
              <w:pStyle w:val="TableContents"/>
              <w:bidi w:val="0"/>
              <w:spacing w:before="0" w:after="283"/>
              <w:jc w:val="left"/>
              <w:rPr/>
            </w:pPr>
            <w:bookmarkStart w:id="43" w:name="xdx_909_edei--EntityEmergingGrowthCompan"/>
            <w:bookmarkEnd w:id="43"/>
            <w:r>
              <w:rPr/>
              <w:t>false</w:t>
            </w:r>
          </w:p>
        </w:tc>
      </w:tr>
      <w:tr>
        <w:trPr/>
        <w:tc>
          <w:tcPr>
            <w:tcW w:w="5195" w:type="dxa"/>
            <w:tcBorders/>
            <w:vAlign w:val="center"/>
          </w:tcPr>
          <w:p>
            <w:pPr>
              <w:pStyle w:val="TableContents"/>
              <w:bidi w:val="0"/>
              <w:spacing w:before="0" w:after="283"/>
              <w:jc w:val="left"/>
              <w:rPr/>
            </w:pPr>
            <w:r>
              <w:rPr/>
              <w:t>Co-Registrant CIK</w:t>
            </w:r>
          </w:p>
        </w:tc>
        <w:tc>
          <w:tcPr>
            <w:tcW w:w="2180" w:type="dxa"/>
            <w:tcBorders/>
            <w:vAlign w:val="center"/>
          </w:tcPr>
          <w:p>
            <w:pPr>
              <w:pStyle w:val="TableContents"/>
              <w:bidi w:val="0"/>
              <w:spacing w:before="0" w:after="283"/>
              <w:jc w:val="left"/>
              <w:rPr/>
            </w:pPr>
            <w:bookmarkStart w:id="44" w:name="xdx_901_edei--EntityCentralIndexKey_dxL_"/>
            <w:bookmarkEnd w:id="44"/>
            <w:r>
              <w:rPr/>
              <w:t>0001271834</w:t>
            </w:r>
          </w:p>
        </w:tc>
      </w:tr>
      <w:tr>
        <w:trPr/>
        <w:tc>
          <w:tcPr>
            <w:tcW w:w="5195" w:type="dxa"/>
            <w:tcBorders/>
            <w:vAlign w:val="center"/>
          </w:tcPr>
          <w:p>
            <w:pPr>
              <w:pStyle w:val="TableContents"/>
              <w:bidi w:val="0"/>
              <w:spacing w:before="0" w:after="283"/>
              <w:jc w:val="left"/>
              <w:rPr/>
            </w:pPr>
            <w:r>
              <w:rPr/>
              <w:t>Co-Registrant Amendment Flag</w:t>
            </w:r>
          </w:p>
        </w:tc>
        <w:tc>
          <w:tcPr>
            <w:tcW w:w="2180" w:type="dxa"/>
            <w:tcBorders/>
            <w:vAlign w:val="center"/>
          </w:tcPr>
          <w:p>
            <w:pPr>
              <w:pStyle w:val="TableContents"/>
              <w:bidi w:val="0"/>
              <w:spacing w:before="0" w:after="283"/>
              <w:jc w:val="left"/>
              <w:rPr/>
            </w:pPr>
            <w:bookmarkStart w:id="45" w:name="xdx_90C_edei--AmendmentFlag_dxL_c2026072"/>
            <w:bookmarkEnd w:id="45"/>
            <w:r>
              <w:rPr/>
              <w:t>false</w:t>
            </w:r>
          </w:p>
        </w:tc>
      </w:tr>
      <w:tr>
        <w:trPr/>
        <w:tc>
          <w:tcPr>
            <w:tcW w:w="5195" w:type="dxa"/>
            <w:tcBorders/>
            <w:vAlign w:val="center"/>
          </w:tcPr>
          <w:p>
            <w:pPr>
              <w:pStyle w:val="TableContents"/>
              <w:bidi w:val="0"/>
              <w:spacing w:before="0" w:after="283"/>
              <w:jc w:val="left"/>
              <w:rPr/>
            </w:pPr>
            <w:r>
              <w:rPr/>
              <w:t>Co-Registrant Form Type</w:t>
            </w:r>
          </w:p>
        </w:tc>
        <w:tc>
          <w:tcPr>
            <w:tcW w:w="2180" w:type="dxa"/>
            <w:tcBorders/>
            <w:vAlign w:val="center"/>
          </w:tcPr>
          <w:p>
            <w:pPr>
              <w:pStyle w:val="TableContents"/>
              <w:bidi w:val="0"/>
              <w:spacing w:before="0" w:after="283"/>
              <w:jc w:val="left"/>
              <w:rPr/>
            </w:pPr>
            <w:bookmarkStart w:id="46" w:name="xdx_90A_edei--DocumentType_dxL_c20260723"/>
            <w:bookmarkEnd w:id="46"/>
            <w:r>
              <w:rPr/>
              <w:t>8-K</w:t>
            </w:r>
          </w:p>
        </w:tc>
      </w:tr>
      <w:tr>
        <w:trPr/>
        <w:tc>
          <w:tcPr>
            <w:tcW w:w="5195" w:type="dxa"/>
            <w:tcBorders/>
            <w:vAlign w:val="center"/>
          </w:tcPr>
          <w:p>
            <w:pPr>
              <w:pStyle w:val="TableContents"/>
              <w:bidi w:val="0"/>
              <w:spacing w:before="0" w:after="283"/>
              <w:jc w:val="left"/>
              <w:rPr/>
            </w:pPr>
            <w:r>
              <w:rPr/>
              <w:t>Co-Registrant DocumentPeriodEndDate</w:t>
            </w:r>
          </w:p>
        </w:tc>
        <w:tc>
          <w:tcPr>
            <w:tcW w:w="2180" w:type="dxa"/>
            <w:tcBorders/>
            <w:vAlign w:val="center"/>
          </w:tcPr>
          <w:p>
            <w:pPr>
              <w:pStyle w:val="TableContents"/>
              <w:bidi w:val="0"/>
              <w:spacing w:before="0" w:after="283"/>
              <w:jc w:val="left"/>
              <w:rPr/>
            </w:pPr>
            <w:bookmarkStart w:id="47" w:name="xdx_90A_edei--DocumentPeriodEndDate_dxL_"/>
            <w:bookmarkEnd w:id="47"/>
            <w:r>
              <w:rPr/>
              <w:t>2026-07-23</w:t>
            </w:r>
          </w:p>
        </w:tc>
      </w:tr>
      <w:tr>
        <w:trPr/>
        <w:tc>
          <w:tcPr>
            <w:tcW w:w="5195" w:type="dxa"/>
            <w:tcBorders/>
            <w:vAlign w:val="center"/>
          </w:tcPr>
          <w:p>
            <w:pPr>
              <w:pStyle w:val="TableContents"/>
              <w:bidi w:val="0"/>
              <w:spacing w:before="0" w:after="283"/>
              <w:jc w:val="left"/>
              <w:rPr/>
            </w:pPr>
            <w:r>
              <w:rPr/>
              <w:t>Incorporate State Country Code</w:t>
            </w:r>
          </w:p>
        </w:tc>
        <w:tc>
          <w:tcPr>
            <w:tcW w:w="2180" w:type="dxa"/>
            <w:tcBorders/>
            <w:vAlign w:val="center"/>
          </w:tcPr>
          <w:p>
            <w:pPr>
              <w:pStyle w:val="TableContents"/>
              <w:bidi w:val="0"/>
              <w:spacing w:before="0" w:after="283"/>
              <w:jc w:val="left"/>
              <w:rPr/>
            </w:pPr>
            <w:bookmarkStart w:id="48" w:name="xdx_904_edei--EntityIncorporationStateCo"/>
            <w:bookmarkEnd w:id="48"/>
            <w:r>
              <w:rPr/>
              <w:t>Delaware</w:t>
            </w:r>
          </w:p>
        </w:tc>
      </w:tr>
      <w:tr>
        <w:trPr/>
        <w:tc>
          <w:tcPr>
            <w:tcW w:w="5195" w:type="dxa"/>
            <w:tcBorders/>
            <w:vAlign w:val="center"/>
          </w:tcPr>
          <w:p>
            <w:pPr>
              <w:pStyle w:val="TableContents"/>
              <w:bidi w:val="0"/>
              <w:spacing w:before="0" w:after="283"/>
              <w:jc w:val="left"/>
              <w:rPr/>
            </w:pPr>
            <w:r>
              <w:rPr/>
              <w:t>Co-Registrant Written Communications</w:t>
            </w:r>
          </w:p>
        </w:tc>
        <w:tc>
          <w:tcPr>
            <w:tcW w:w="2180" w:type="dxa"/>
            <w:tcBorders/>
            <w:vAlign w:val="center"/>
          </w:tcPr>
          <w:p>
            <w:pPr>
              <w:pStyle w:val="TableContents"/>
              <w:bidi w:val="0"/>
              <w:spacing w:before="0" w:after="283"/>
              <w:jc w:val="left"/>
              <w:rPr/>
            </w:pPr>
            <w:bookmarkStart w:id="49" w:name="xdx_90B_edei--WrittenCommunications_dxL_"/>
            <w:bookmarkEnd w:id="49"/>
            <w:r>
              <w:rPr/>
              <w:t>false</w:t>
            </w:r>
          </w:p>
        </w:tc>
      </w:tr>
      <w:tr>
        <w:trPr/>
        <w:tc>
          <w:tcPr>
            <w:tcW w:w="5195" w:type="dxa"/>
            <w:tcBorders/>
            <w:vAlign w:val="center"/>
          </w:tcPr>
          <w:p>
            <w:pPr>
              <w:pStyle w:val="TableContents"/>
              <w:bidi w:val="0"/>
              <w:spacing w:before="0" w:after="283"/>
              <w:jc w:val="left"/>
              <w:rPr/>
            </w:pPr>
            <w:r>
              <w:rPr/>
              <w:t>Co-Registrant Solicitating Materials</w:t>
            </w:r>
          </w:p>
        </w:tc>
        <w:tc>
          <w:tcPr>
            <w:tcW w:w="2180" w:type="dxa"/>
            <w:tcBorders/>
            <w:vAlign w:val="center"/>
          </w:tcPr>
          <w:p>
            <w:pPr>
              <w:pStyle w:val="TableContents"/>
              <w:bidi w:val="0"/>
              <w:spacing w:before="0" w:after="283"/>
              <w:jc w:val="left"/>
              <w:rPr/>
            </w:pPr>
            <w:bookmarkStart w:id="50" w:name="xdx_90F_edei--SolicitingMaterial_dxL_c20"/>
            <w:bookmarkEnd w:id="50"/>
            <w:r>
              <w:rPr/>
              <w:t>false</w:t>
            </w:r>
          </w:p>
        </w:tc>
      </w:tr>
      <w:tr>
        <w:trPr/>
        <w:tc>
          <w:tcPr>
            <w:tcW w:w="5195" w:type="dxa"/>
            <w:tcBorders/>
            <w:vAlign w:val="center"/>
          </w:tcPr>
          <w:p>
            <w:pPr>
              <w:pStyle w:val="TableContents"/>
              <w:bidi w:val="0"/>
              <w:spacing w:before="0" w:after="283"/>
              <w:jc w:val="left"/>
              <w:rPr/>
            </w:pPr>
            <w:r>
              <w:rPr/>
              <w:t>Co-Registrant PreCommencement Tender Offer</w:t>
            </w:r>
          </w:p>
        </w:tc>
        <w:tc>
          <w:tcPr>
            <w:tcW w:w="2180" w:type="dxa"/>
            <w:tcBorders/>
            <w:vAlign w:val="center"/>
          </w:tcPr>
          <w:p>
            <w:pPr>
              <w:pStyle w:val="TableContents"/>
              <w:bidi w:val="0"/>
              <w:spacing w:before="0" w:after="283"/>
              <w:jc w:val="left"/>
              <w:rPr/>
            </w:pPr>
            <w:bookmarkStart w:id="51" w:name="xdx_90A_edei--PreCommencementTenderOffer"/>
            <w:bookmarkEnd w:id="51"/>
            <w:r>
              <w:rPr/>
              <w:t>false</w:t>
            </w:r>
          </w:p>
        </w:tc>
      </w:tr>
      <w:tr>
        <w:trPr/>
        <w:tc>
          <w:tcPr>
            <w:tcW w:w="5195" w:type="dxa"/>
            <w:tcBorders/>
            <w:vAlign w:val="center"/>
          </w:tcPr>
          <w:p>
            <w:pPr>
              <w:pStyle w:val="TableContents"/>
              <w:bidi w:val="0"/>
              <w:spacing w:before="0" w:after="283"/>
              <w:jc w:val="left"/>
              <w:rPr/>
            </w:pPr>
            <w:r>
              <w:rPr/>
              <w:t>Co-Registrant PreCommencement Issuer Tender Offer</w:t>
            </w:r>
          </w:p>
        </w:tc>
        <w:tc>
          <w:tcPr>
            <w:tcW w:w="2180" w:type="dxa"/>
            <w:tcBorders/>
            <w:vAlign w:val="center"/>
          </w:tcPr>
          <w:p>
            <w:pPr>
              <w:pStyle w:val="TableContents"/>
              <w:bidi w:val="0"/>
              <w:spacing w:before="0" w:after="283"/>
              <w:jc w:val="left"/>
              <w:rPr/>
            </w:pPr>
            <w:bookmarkStart w:id="52" w:name="xdx_90B_edei--PreCommencementIssuerTende"/>
            <w:bookmarkEnd w:id="52"/>
            <w:r>
              <w:rPr/>
              <w:t>false</w:t>
            </w:r>
          </w:p>
        </w:tc>
      </w:tr>
      <w:tr>
        <w:trPr/>
        <w:tc>
          <w:tcPr>
            <w:tcW w:w="5195" w:type="dxa"/>
            <w:tcBorders/>
            <w:vAlign w:val="center"/>
          </w:tcPr>
          <w:p>
            <w:pPr>
              <w:pStyle w:val="TableContents"/>
              <w:bidi w:val="0"/>
              <w:spacing w:before="0" w:after="283"/>
              <w:jc w:val="left"/>
              <w:rPr/>
            </w:pPr>
            <w:r>
              <w:rPr/>
              <w:t>Co-Registrant AddressLine1</w:t>
            </w:r>
          </w:p>
        </w:tc>
        <w:tc>
          <w:tcPr>
            <w:tcW w:w="2180" w:type="dxa"/>
            <w:tcBorders/>
            <w:vAlign w:val="center"/>
          </w:tcPr>
          <w:p>
            <w:pPr>
              <w:pStyle w:val="TableContents"/>
              <w:bidi w:val="0"/>
              <w:spacing w:before="0" w:after="283"/>
              <w:jc w:val="left"/>
              <w:rPr/>
            </w:pPr>
            <w:bookmarkStart w:id="53" w:name="xdx_90C_edei--EntityAddressAddressLine1_"/>
            <w:bookmarkEnd w:id="53"/>
            <w:r>
              <w:rPr/>
              <w:t>400 Washington Blvd.</w:t>
            </w:r>
          </w:p>
        </w:tc>
      </w:tr>
      <w:tr>
        <w:trPr/>
        <w:tc>
          <w:tcPr>
            <w:tcW w:w="5195" w:type="dxa"/>
            <w:tcBorders/>
            <w:vAlign w:val="center"/>
          </w:tcPr>
          <w:p>
            <w:pPr>
              <w:pStyle w:val="TableContents"/>
              <w:bidi w:val="0"/>
              <w:spacing w:before="0" w:after="283"/>
              <w:jc w:val="left"/>
              <w:rPr/>
            </w:pPr>
            <w:r>
              <w:rPr/>
              <w:t>Co-Registrant City or Town</w:t>
            </w:r>
          </w:p>
        </w:tc>
        <w:tc>
          <w:tcPr>
            <w:tcW w:w="2180" w:type="dxa"/>
            <w:tcBorders/>
            <w:vAlign w:val="center"/>
          </w:tcPr>
          <w:p>
            <w:pPr>
              <w:pStyle w:val="TableContents"/>
              <w:bidi w:val="0"/>
              <w:spacing w:before="0" w:after="283"/>
              <w:jc w:val="left"/>
              <w:rPr/>
            </w:pPr>
            <w:bookmarkStart w:id="54" w:name="xdx_907_edei--EntityAddressCityOrTown_dx"/>
            <w:bookmarkEnd w:id="54"/>
            <w:r>
              <w:rPr/>
              <w:t>Stamford</w:t>
            </w:r>
          </w:p>
        </w:tc>
      </w:tr>
      <w:tr>
        <w:trPr/>
        <w:tc>
          <w:tcPr>
            <w:tcW w:w="5195" w:type="dxa"/>
            <w:tcBorders/>
            <w:vAlign w:val="center"/>
          </w:tcPr>
          <w:p>
            <w:pPr>
              <w:pStyle w:val="TableContents"/>
              <w:bidi w:val="0"/>
              <w:spacing w:before="0" w:after="283"/>
              <w:jc w:val="left"/>
              <w:rPr/>
            </w:pPr>
            <w:r>
              <w:rPr/>
              <w:t>Co-Registrant State</w:t>
            </w:r>
          </w:p>
        </w:tc>
        <w:tc>
          <w:tcPr>
            <w:tcW w:w="2180" w:type="dxa"/>
            <w:tcBorders/>
            <w:vAlign w:val="center"/>
          </w:tcPr>
          <w:p>
            <w:pPr>
              <w:pStyle w:val="TableContents"/>
              <w:bidi w:val="0"/>
              <w:spacing w:before="0" w:after="283"/>
              <w:jc w:val="left"/>
              <w:rPr/>
            </w:pPr>
            <w:bookmarkStart w:id="55" w:name="xdx_902_edei--EntityAddressStateOrProvin"/>
            <w:bookmarkEnd w:id="55"/>
            <w:r>
              <w:rPr/>
              <w:t>Connecticut</w:t>
            </w:r>
          </w:p>
        </w:tc>
      </w:tr>
      <w:tr>
        <w:trPr/>
        <w:tc>
          <w:tcPr>
            <w:tcW w:w="5195" w:type="dxa"/>
            <w:tcBorders/>
            <w:vAlign w:val="center"/>
          </w:tcPr>
          <w:p>
            <w:pPr>
              <w:pStyle w:val="TableContents"/>
              <w:bidi w:val="0"/>
              <w:spacing w:before="0" w:after="283"/>
              <w:jc w:val="left"/>
              <w:rPr/>
            </w:pPr>
            <w:r>
              <w:rPr/>
              <w:t>Co-Registrant Postal Zip code</w:t>
            </w:r>
          </w:p>
        </w:tc>
        <w:tc>
          <w:tcPr>
            <w:tcW w:w="2180" w:type="dxa"/>
            <w:tcBorders/>
            <w:vAlign w:val="center"/>
          </w:tcPr>
          <w:p>
            <w:pPr>
              <w:pStyle w:val="TableContents"/>
              <w:bidi w:val="0"/>
              <w:spacing w:before="0" w:after="283"/>
              <w:jc w:val="left"/>
              <w:rPr/>
            </w:pPr>
            <w:bookmarkStart w:id="56" w:name="xdx_90B_edei--EntityAddressPostalZipCode"/>
            <w:bookmarkEnd w:id="56"/>
            <w:r>
              <w:rPr/>
              <w:t>06901</w:t>
            </w:r>
          </w:p>
        </w:tc>
      </w:tr>
      <w:tr>
        <w:trPr/>
        <w:tc>
          <w:tcPr>
            <w:tcW w:w="5195" w:type="dxa"/>
            <w:tcBorders/>
            <w:vAlign w:val="center"/>
          </w:tcPr>
          <w:p>
            <w:pPr>
              <w:pStyle w:val="TableContents"/>
              <w:bidi w:val="0"/>
              <w:spacing w:before="0" w:after="283"/>
              <w:jc w:val="left"/>
              <w:rPr/>
            </w:pPr>
            <w:r>
              <w:rPr/>
              <w:t>Co-Registrant City area code</w:t>
            </w:r>
          </w:p>
        </w:tc>
        <w:tc>
          <w:tcPr>
            <w:tcW w:w="2180" w:type="dxa"/>
            <w:tcBorders/>
            <w:vAlign w:val="center"/>
          </w:tcPr>
          <w:p>
            <w:pPr>
              <w:pStyle w:val="TableContents"/>
              <w:bidi w:val="0"/>
              <w:spacing w:before="0" w:after="283"/>
              <w:jc w:val="left"/>
              <w:rPr/>
            </w:pPr>
            <w:bookmarkStart w:id="57" w:name="xdx_903_edei--CityAreaCode_dxL_c20260723"/>
            <w:bookmarkEnd w:id="57"/>
            <w:r>
              <w:rPr/>
              <w:t>203</w:t>
            </w:r>
          </w:p>
        </w:tc>
      </w:tr>
      <w:tr>
        <w:trPr/>
        <w:tc>
          <w:tcPr>
            <w:tcW w:w="5195" w:type="dxa"/>
            <w:tcBorders/>
            <w:vAlign w:val="center"/>
          </w:tcPr>
          <w:p>
            <w:pPr>
              <w:pStyle w:val="TableContents"/>
              <w:bidi w:val="0"/>
              <w:spacing w:before="0" w:after="283"/>
              <w:jc w:val="left"/>
              <w:rPr/>
            </w:pPr>
            <w:r>
              <w:rPr/>
              <w:t>Co-Registrant Local Phone number</w:t>
            </w:r>
          </w:p>
        </w:tc>
        <w:tc>
          <w:tcPr>
            <w:tcW w:w="2180" w:type="dxa"/>
            <w:tcBorders/>
            <w:vAlign w:val="center"/>
          </w:tcPr>
          <w:p>
            <w:pPr>
              <w:pStyle w:val="TableContents"/>
              <w:bidi w:val="0"/>
              <w:spacing w:before="0" w:after="283"/>
              <w:jc w:val="left"/>
              <w:rPr/>
            </w:pPr>
            <w:bookmarkStart w:id="58" w:name="xdx_905_edei--LocalPhoneNumber_dxL_c2026"/>
            <w:bookmarkEnd w:id="58"/>
            <w:r>
              <w:rPr/>
              <w:t>905-7801</w:t>
            </w:r>
          </w:p>
        </w:tc>
      </w:tr>
      <w:tr>
        <w:trPr/>
        <w:tc>
          <w:tcPr>
            <w:tcW w:w="5195" w:type="dxa"/>
            <w:tcBorders/>
            <w:vAlign w:val="center"/>
          </w:tcPr>
          <w:p>
            <w:pPr>
              <w:pStyle w:val="TableContents"/>
              <w:bidi w:val="0"/>
              <w:spacing w:before="0" w:after="283"/>
              <w:jc w:val="left"/>
              <w:rPr/>
            </w:pPr>
            <w:r>
              <w:rPr/>
              <w:t>Co-Registrant Emerging Growth Company</w:t>
            </w:r>
          </w:p>
        </w:tc>
        <w:tc>
          <w:tcPr>
            <w:tcW w:w="2180" w:type="dxa"/>
            <w:tcBorders/>
            <w:vAlign w:val="center"/>
          </w:tcPr>
          <w:p>
            <w:pPr>
              <w:pStyle w:val="TableContents"/>
              <w:bidi w:val="0"/>
              <w:spacing w:before="0" w:after="283"/>
              <w:jc w:val="left"/>
              <w:rPr/>
            </w:pPr>
            <w:bookmarkStart w:id="59" w:name="xdx_904_edei--EntityEmergingGrowthCompan"/>
            <w:bookmarkEnd w:id="59"/>
            <w:r>
              <w:rPr/>
              <w:t>false</w:t>
            </w:r>
          </w:p>
        </w:tc>
      </w:tr>
    </w:tbl>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ITEM 7.01.</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 xml:space="preserve">REGULATION FD DISCLOSURE.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23, 2026, Charter Communications, Inc. (the “Charter”) announced that its wholly-owned subsidiaries, Charter Communications Operating, LLC (“CCO”) and Charter Communications Operating Capital Corp. (together with CCO, the “Issuers”) commenced (a) a private offer to exchange (the “Pool 1 Offer”) the outstanding (i) 3.500% Senior Secured Notes due 2042 (“Old 2042 Notes”), (ii) 3.500% Senior Secured Notes due 2041 (“Old 2041 Notes”), (iii) 4.500% senior debentures due 2042 (“Old 2042 Debentures”), (iv) 5.375% Senior Secured Notes due 2047 (“Old 2047 Notes”), (v) 2.300% Senior Secured Notes due 2032 (“Old 2032 Notes”), (vi) 2.800% Senior Secured Notes due 2031 (“Old 2031 Notes”), and (vii) 2.250% Senior Secured Notes due 2029 (“Old 2029 Notes” and, together with the Old 2042 Notes, the Old 2041 Notes, the Old 2042 Debentures, the Old 2047 Notes, the Old 2032 Notes, the Old 2031 Notes, the “Pool 1 Notes”) issued by the Issuers or Time Warner Cable, LLC, as applicable, for a combination of cash consideration and up to $1,750,000,000 in aggregate principal amount of a new series of Senior Secured Notes due 2038 (the “New 2038 Notes”) to be issued by the Issuers with registration rights and (b) a private offer to exchange (the “Pool 2 Offer” and, together with the Pool 1 Offer, the “Exchange Offers”) the outstanding (i) 3.700% senior secured notes due 2051 (“Old 2051 Notes”), (ii) 3.900% senior secured notes due 2052 (“Old 2052 Notes”), (iii) 4.800% Senior Secured Notes due 2050 (“Old 2050 Notes”), (iv) 5.125% Senior Secured Notes due 2049 (“Old 2049 Notes”), and (v) 5.250% Senior Secured Notes due 2053 (“Old 2053 Notes” and, together with the Old 2051 Notes, the Old 2052 Notes, Old 2050 Notes and Old 2049 Notes, the “Pool 2 Notes” and, together with the Pool 1 Notes, the “Old Notes”) issued by the Issuers for a combination of cash consideration and up to $1,750,000,000 in aggregate principal amount of a new series of Senior Secured Notes due 2041 (the “New 2041 Notes” and, together with the New 2038 Notes, the “New Notes”) to be issued by the Issuers with registration rights.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complete terms and conditions of the Exchange Offers are set forth in an offering memorandum dated July 23, 2026 that will be sent to eligible holders of the Old Notes. Holders of Old Notes validly tendered and accepted pursuant to the terms of the Exchange Offers will receive the consideration plus Accrued Interest for such Old Notes, as determined in the manner described in the Offering Memorandum. The Exchange Offers will expire at 5:00 PM New York City time, on August 20, 2026, unless extended or earlier terminated (the “Expiration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New Notes have not been registered under the U.S. Securities Act of 1933, as amended (the “Securities Act”) or any other applicable securities laws. Therefore, the New Notes may not be offered or sold except pursuant to an exemption from or in a transaction not subject to the registration requirements of the Securities Act and the applicable state securities laws.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contained in this Current Report on Form 8-K shall not be deemed “filed” for the purposes of Section 18 of the Securities Exchange Act of 1934, as amended, or otherwise subject to the liabilities of that Section. Further, such information shall not be deemed incorporated by reference into any reports or filings with the Securities Exchange Commission, whether made before or after the date hereof, except as expressly set forth by specific reference in such report or filing.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press release announcing the Exchange Offers is attached hereto as Exhibit 99.1 and incorporated by reference 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8.01. OTHER EVENTS.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previously disclosed, on May 16, 2025, Charter entered into a Transaction Agreement (the “Cox Communications Transaction Agreement”) by and among Charter, Charter Communications Holdings, LLC, a Delaware limited liability company and subsidiary of Charter (“Charter Holdings”), and Cox Enterprises, Inc., a Delaware corporation (“Cox Enterprises”), pursuant to which (i) Cox Enterprises will sell and transfer to Charter 100% of the equity interests of certain subsidiaries of Cox Communications, Inc., a wholly owned subsidiary of Cox Enterprises (“Cox Communications”), that conduct Cox Communications’ commercial fiber and managed IT and cloud services businesses, (ii) Cox Enterprises will contribute the equity interests of Cox Communications (after its conversion into a limited liability company pursuant to a preclosing restructuring) and certain other assets (other than certain excluded assets) primarily related to Cox Communications’ residential cable business to Charter Holdings and (iii) Cox Enterprises will pay $1.00 to Charter (the transactions described in clauses (i)-(iii), collectively, the “Cox Transactions”).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Charter is filing this Current Report on Form 8-K to provide the (i) audited consolidated financial statements of Cox Communications as of December 31, 2025 and 2024, and for each of the years in the three-year period ended December 31, 2025, and the related notes thereto, (ii) unaudited interim condensed consolidated financial statements of Cox Communications as of and for the three months ended March 31, 2026, and (iii) certain pro forma financial information regarding the Cox Transactions as of and for the three months ended March 31, 2026 and for the year ended December 31, 2025. The unaudited pro forma condensed combined financial statements as of and for the three months ended March 31, 2026 and for the year ended December 31, 2025 are intended to reflect the impact of the Cox Transactions on the consolidated financial statements of Charter as if the Cox Transactions had occurred as of March 31, 2026 for the unaudited pro forma condensed combined balance sheet and as of January 1, 2025 for the unaudited pro forma condensed combined statements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Item 9.01.</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 xml:space="preserve">Financial Statements and Exhibits.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677"/>
        <w:gridCol w:w="60"/>
        <w:gridCol w:w="9468"/>
      </w:tblGrid>
      <w:tr>
        <w:trPr/>
        <w:tc>
          <w:tcPr>
            <w:tcW w:w="677" w:type="dxa"/>
            <w:tcBorders>
              <w:bottom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Exhibit</w:t>
              <w:br/>
              <w:t> No. </w:t>
            </w:r>
          </w:p>
        </w:tc>
        <w:tc>
          <w:tcPr>
            <w:tcW w:w="60" w:type="dxa"/>
            <w:tcBorders/>
            <w:tcMar>
              <w:bottom w:w="0" w:type="dxa"/>
            </w:tcMar>
            <w:vAlign w:val="center"/>
          </w:tcPr>
          <w:p>
            <w:pPr>
              <w:pStyle w:val="TableContents"/>
              <w:bidi w:val="0"/>
              <w:spacing w:before="0" w:after="283"/>
              <w:jc w:val="left"/>
              <w:rPr/>
            </w:pPr>
            <w:r>
              <w:rPr/>
              <w:t> </w:t>
            </w:r>
          </w:p>
        </w:tc>
        <w:tc>
          <w:tcPr>
            <w:tcW w:w="9468" w:type="dxa"/>
            <w:tcBorders>
              <w:bottom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Description</w:t>
            </w:r>
          </w:p>
        </w:tc>
      </w:tr>
      <w:tr>
        <w:trPr/>
        <w:tc>
          <w:tcPr>
            <w:tcW w:w="677" w:type="dxa"/>
            <w:tcBorders/>
            <w:tcMar>
              <w:bottom w:w="0" w:type="dxa"/>
            </w:tcMar>
            <w:vAlign w:val="center"/>
          </w:tcPr>
          <w:p>
            <w:pPr>
              <w:pStyle w:val="TableContents"/>
              <w:bidi w:val="0"/>
              <w:spacing w:before="0" w:after="283"/>
              <w:jc w:val="both"/>
              <w:rPr/>
            </w:pPr>
            <w:hyperlink w:anchor="tm2621145d1_ex99-1.htm">
              <w:r>
                <w:rPr>
                  <w:rStyle w:val="InternetLink"/>
                  <w:rFonts w:ascii="Times New Roman;Times;Serif" w:hAnsi="Times New Roman;Times;Serif"/>
                  <w:sz w:val="20"/>
                </w:rPr>
                <w:t>99.1</w:t>
              </w:r>
            </w:hyperlink>
          </w:p>
        </w:tc>
        <w:tc>
          <w:tcPr>
            <w:tcW w:w="60" w:type="dxa"/>
            <w:tcBorders/>
            <w:tcMar>
              <w:bottom w:w="0" w:type="dxa"/>
            </w:tcMar>
            <w:vAlign w:val="center"/>
          </w:tcPr>
          <w:p>
            <w:pPr>
              <w:pStyle w:val="TableContents"/>
              <w:bidi w:val="0"/>
              <w:spacing w:before="0" w:after="283"/>
              <w:jc w:val="both"/>
              <w:rPr/>
            </w:pPr>
            <w:r>
              <w:rPr/>
              <w:t> </w:t>
            </w:r>
          </w:p>
        </w:tc>
        <w:tc>
          <w:tcPr>
            <w:tcW w:w="9468" w:type="dxa"/>
            <w:tcBorders/>
            <w:tcMar>
              <w:bottom w:w="0" w:type="dxa"/>
            </w:tcMar>
            <w:vAlign w:val="center"/>
          </w:tcPr>
          <w:p>
            <w:pPr>
              <w:pStyle w:val="TableContents"/>
              <w:bidi w:val="0"/>
              <w:spacing w:before="0" w:after="283"/>
              <w:jc w:val="both"/>
              <w:rPr/>
            </w:pPr>
            <w:hyperlink w:anchor="tm2621145d1_ex99-1.htm">
              <w:r>
                <w:rPr>
                  <w:rStyle w:val="InternetLink"/>
                  <w:rFonts w:ascii="Times New Roman;Times;Serif" w:hAnsi="Times New Roman;Times;Serif"/>
                  <w:sz w:val="20"/>
                </w:rPr>
                <w:t xml:space="preserve">Press Release, dated July 23, 2026. </w:t>
              </w:r>
            </w:hyperlink>
          </w:p>
        </w:tc>
      </w:tr>
      <w:tr>
        <w:trPr/>
        <w:tc>
          <w:tcPr>
            <w:tcW w:w="677" w:type="dxa"/>
            <w:tcBorders/>
            <w:tcMar>
              <w:bottom w:w="0" w:type="dxa"/>
            </w:tcMar>
            <w:vAlign w:val="center"/>
          </w:tcPr>
          <w:p>
            <w:pPr>
              <w:pStyle w:val="TableContents"/>
              <w:bidi w:val="0"/>
              <w:spacing w:before="0" w:after="283"/>
              <w:jc w:val="both"/>
              <w:rPr/>
            </w:pPr>
            <w:hyperlink w:anchor="tm2621145d1_ex99-2.htm">
              <w:r>
                <w:rPr>
                  <w:rStyle w:val="InternetLink"/>
                  <w:rFonts w:ascii="Times New Roman;Times;Serif" w:hAnsi="Times New Roman;Times;Serif"/>
                  <w:sz w:val="20"/>
                </w:rPr>
                <w:t>99.2</w:t>
              </w:r>
            </w:hyperlink>
          </w:p>
        </w:tc>
        <w:tc>
          <w:tcPr>
            <w:tcW w:w="60" w:type="dxa"/>
            <w:tcBorders/>
            <w:tcMar>
              <w:bottom w:w="0" w:type="dxa"/>
            </w:tcMar>
            <w:vAlign w:val="center"/>
          </w:tcPr>
          <w:p>
            <w:pPr>
              <w:pStyle w:val="TableContents"/>
              <w:bidi w:val="0"/>
              <w:spacing w:before="0" w:after="283"/>
              <w:jc w:val="both"/>
              <w:rPr/>
            </w:pPr>
            <w:r>
              <w:rPr/>
              <w:t> </w:t>
            </w:r>
          </w:p>
        </w:tc>
        <w:tc>
          <w:tcPr>
            <w:tcW w:w="9468" w:type="dxa"/>
            <w:tcBorders/>
            <w:tcMar>
              <w:bottom w:w="0" w:type="dxa"/>
            </w:tcMar>
            <w:vAlign w:val="center"/>
          </w:tcPr>
          <w:p>
            <w:pPr>
              <w:pStyle w:val="TableContents"/>
              <w:bidi w:val="0"/>
              <w:spacing w:before="0" w:after="283"/>
              <w:jc w:val="both"/>
              <w:rPr/>
            </w:pPr>
            <w:hyperlink w:anchor="tm2621145d1_ex99-2.htm">
              <w:r>
                <w:rPr>
                  <w:rStyle w:val="InternetLink"/>
                  <w:rFonts w:ascii="Times New Roman;Times;Serif" w:hAnsi="Times New Roman;Times;Serif"/>
                  <w:sz w:val="20"/>
                </w:rPr>
                <w:t>Audited</w:t>
              </w:r>
            </w:hyperlink>
            <w:hyperlink w:anchor="tm2621145d1_ex99-2.htm">
              <w:r>
                <w:rPr>
                  <w:rStyle w:val="InternetLink"/>
                  <w:sz w:val="20"/>
                </w:rPr>
                <w:t xml:space="preserve"> consolidated financial statements of Cox Communications as of December 31, 2025 and 2024, and for each of the years in the three-year period ended December 31, 2025, and the accompanying notes thereto</w:t>
              </w:r>
            </w:hyperlink>
          </w:p>
        </w:tc>
      </w:tr>
      <w:tr>
        <w:trPr/>
        <w:tc>
          <w:tcPr>
            <w:tcW w:w="677" w:type="dxa"/>
            <w:tcBorders/>
            <w:tcMar>
              <w:bottom w:w="0" w:type="dxa"/>
            </w:tcMar>
            <w:vAlign w:val="center"/>
          </w:tcPr>
          <w:p>
            <w:pPr>
              <w:pStyle w:val="TableContents"/>
              <w:bidi w:val="0"/>
              <w:spacing w:before="0" w:after="283"/>
              <w:jc w:val="both"/>
              <w:rPr/>
            </w:pPr>
            <w:hyperlink w:anchor="tm2621145d1_ex99-3.htm">
              <w:r>
                <w:rPr>
                  <w:rStyle w:val="InternetLink"/>
                  <w:rFonts w:ascii="Times New Roman;Times;Serif" w:hAnsi="Times New Roman;Times;Serif"/>
                  <w:sz w:val="20"/>
                </w:rPr>
                <w:t>99.3</w:t>
              </w:r>
            </w:hyperlink>
          </w:p>
        </w:tc>
        <w:tc>
          <w:tcPr>
            <w:tcW w:w="60" w:type="dxa"/>
            <w:tcBorders/>
            <w:tcMar>
              <w:bottom w:w="0" w:type="dxa"/>
            </w:tcMar>
            <w:vAlign w:val="center"/>
          </w:tcPr>
          <w:p>
            <w:pPr>
              <w:pStyle w:val="TableContents"/>
              <w:bidi w:val="0"/>
              <w:spacing w:before="0" w:after="283"/>
              <w:jc w:val="both"/>
              <w:rPr/>
            </w:pPr>
            <w:r>
              <w:rPr/>
              <w:t> </w:t>
            </w:r>
          </w:p>
        </w:tc>
        <w:tc>
          <w:tcPr>
            <w:tcW w:w="9468" w:type="dxa"/>
            <w:tcBorders/>
            <w:tcMar>
              <w:bottom w:w="0" w:type="dxa"/>
            </w:tcMar>
            <w:vAlign w:val="center"/>
          </w:tcPr>
          <w:p>
            <w:pPr>
              <w:pStyle w:val="TableContents"/>
              <w:bidi w:val="0"/>
              <w:spacing w:before="0" w:after="283"/>
              <w:jc w:val="both"/>
              <w:rPr/>
            </w:pPr>
            <w:hyperlink w:anchor="tm2621145d1_ex99-3.htm">
              <w:r>
                <w:rPr>
                  <w:rStyle w:val="InternetLink"/>
                  <w:rFonts w:ascii="Times New Roman;Times;Serif" w:hAnsi="Times New Roman;Times;Serif"/>
                  <w:sz w:val="20"/>
                </w:rPr>
                <w:t>Unaudited interim condensed consolidated financial statements of Cox Communications, Inc. as of and for the three months ended March 31, 2026, and the accompanying notes thereto.</w:t>
              </w:r>
            </w:hyperlink>
          </w:p>
        </w:tc>
      </w:tr>
      <w:tr>
        <w:trPr/>
        <w:tc>
          <w:tcPr>
            <w:tcW w:w="677" w:type="dxa"/>
            <w:tcBorders/>
            <w:tcMar>
              <w:bottom w:w="0" w:type="dxa"/>
            </w:tcMar>
            <w:vAlign w:val="center"/>
          </w:tcPr>
          <w:p>
            <w:pPr>
              <w:pStyle w:val="TableContents"/>
              <w:bidi w:val="0"/>
              <w:spacing w:before="0" w:after="283"/>
              <w:jc w:val="both"/>
              <w:rPr/>
            </w:pPr>
            <w:hyperlink w:anchor="tm2621145d1_ex99-4.htm">
              <w:r>
                <w:rPr>
                  <w:rStyle w:val="InternetLink"/>
                  <w:rFonts w:ascii="Times New Roman;Times;Serif" w:hAnsi="Times New Roman;Times;Serif"/>
                  <w:sz w:val="20"/>
                </w:rPr>
                <w:t>99.4</w:t>
              </w:r>
            </w:hyperlink>
          </w:p>
        </w:tc>
        <w:tc>
          <w:tcPr>
            <w:tcW w:w="60" w:type="dxa"/>
            <w:tcBorders/>
            <w:tcMar>
              <w:bottom w:w="0" w:type="dxa"/>
            </w:tcMar>
            <w:vAlign w:val="center"/>
          </w:tcPr>
          <w:p>
            <w:pPr>
              <w:pStyle w:val="TableContents"/>
              <w:bidi w:val="0"/>
              <w:spacing w:before="0" w:after="283"/>
              <w:jc w:val="both"/>
              <w:rPr/>
            </w:pPr>
            <w:r>
              <w:rPr/>
              <w:t> </w:t>
            </w:r>
          </w:p>
        </w:tc>
        <w:tc>
          <w:tcPr>
            <w:tcW w:w="9468" w:type="dxa"/>
            <w:tcBorders/>
            <w:tcMar>
              <w:bottom w:w="0" w:type="dxa"/>
            </w:tcMar>
            <w:vAlign w:val="center"/>
          </w:tcPr>
          <w:p>
            <w:pPr>
              <w:pStyle w:val="TableContents"/>
              <w:bidi w:val="0"/>
              <w:spacing w:before="0" w:after="283"/>
              <w:jc w:val="both"/>
              <w:rPr/>
            </w:pPr>
            <w:hyperlink w:anchor="tm2621145d1_ex99-4.htm">
              <w:r>
                <w:rPr>
                  <w:rStyle w:val="InternetLink"/>
                  <w:rFonts w:ascii="Times New Roman;Times;Serif" w:hAnsi="Times New Roman;Times;Serif"/>
                  <w:sz w:val="20"/>
                </w:rPr>
                <w:t>Unaudited pro forma condensed combined financial statements of Charter Communications, Inc. as of and for the three months ended March 31, 2026 and for the year ended December 31, 2025, and the accompanying notes thereto.</w:t>
              </w:r>
            </w:hyperlink>
          </w:p>
        </w:tc>
      </w:tr>
      <w:tr>
        <w:trPr/>
        <w:tc>
          <w:tcPr>
            <w:tcW w:w="677"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104</w:t>
            </w:r>
          </w:p>
        </w:tc>
        <w:tc>
          <w:tcPr>
            <w:tcW w:w="60" w:type="dxa"/>
            <w:tcBorders/>
            <w:tcMar>
              <w:bottom w:w="0" w:type="dxa"/>
            </w:tcMar>
            <w:vAlign w:val="center"/>
          </w:tcPr>
          <w:p>
            <w:pPr>
              <w:pStyle w:val="TableContents"/>
              <w:bidi w:val="0"/>
              <w:spacing w:before="0" w:after="283"/>
              <w:jc w:val="both"/>
              <w:rPr/>
            </w:pPr>
            <w:r>
              <w:rPr/>
              <w:t> </w:t>
            </w:r>
          </w:p>
        </w:tc>
        <w:tc>
          <w:tcPr>
            <w:tcW w:w="9468"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Cover Page Interactive Data File (embedded within the Inline XBRL document)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as amended, each of Charter Communications, Inc., CCO Holdings, LLC and CCO Holdings Capital Corp. has duly caused this Current Report to be signed on its behalf by the undersigned hereunto duly authorized.</w:t>
      </w:r>
    </w:p>
    <w:p>
      <w:pPr>
        <w:pStyle w:val="TextBody"/>
        <w:bidi w:val="0"/>
        <w:spacing w:before="0" w:after="0"/>
        <w:ind w:left="0" w:right="0" w:hanging="0"/>
        <w:jc w:val="both"/>
        <w:rPr>
          <w:caps w:val="false"/>
          <w:smallCaps w:val="false"/>
        </w:rPr>
      </w:pPr>
      <w:r>
        <w:rPr>
          <w:caps w:val="false"/>
          <w:smallCaps w:val="false"/>
        </w:rPr>
        <w:t> </w:t>
      </w:r>
    </w:p>
    <w:tbl>
      <w:tblPr>
        <w:tblW w:w="7380" w:type="dxa"/>
        <w:jc w:val="left"/>
        <w:tblInd w:w="0" w:type="dxa"/>
        <w:tblLayout w:type="fixed"/>
        <w:tblCellMar>
          <w:top w:w="0" w:type="dxa"/>
          <w:left w:w="0" w:type="dxa"/>
          <w:bottom w:w="0" w:type="dxa"/>
          <w:right w:w="0" w:type="dxa"/>
        </w:tblCellMar>
      </w:tblPr>
      <w:tblGrid>
        <w:gridCol w:w="1625"/>
        <w:gridCol w:w="320"/>
        <w:gridCol w:w="5435"/>
      </w:tblGrid>
      <w:tr>
        <w:trPr/>
        <w:tc>
          <w:tcPr>
            <w:tcW w:w="1625" w:type="dxa"/>
            <w:tcBorders/>
            <w:vAlign w:val="center"/>
          </w:tcPr>
          <w:p>
            <w:pPr>
              <w:pStyle w:val="TableContents"/>
              <w:bidi w:val="0"/>
              <w:spacing w:before="0" w:after="283"/>
              <w:jc w:val="left"/>
              <w:rPr/>
            </w:pPr>
            <w:r>
              <w:rPr/>
              <w:t> </w:t>
            </w:r>
          </w:p>
        </w:tc>
        <w:tc>
          <w:tcPr>
            <w:tcW w:w="5755"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CHARTER COMMUNICATIONS, INC.</w:t>
            </w:r>
          </w:p>
        </w:tc>
      </w:tr>
      <w:tr>
        <w:trPr/>
        <w:tc>
          <w:tcPr>
            <w:tcW w:w="1625" w:type="dxa"/>
            <w:tcBorders/>
            <w:vAlign w:val="center"/>
          </w:tcPr>
          <w:p>
            <w:pPr>
              <w:pStyle w:val="TableContents"/>
              <w:bidi w:val="0"/>
              <w:spacing w:before="0" w:after="283"/>
              <w:jc w:val="left"/>
              <w:rPr/>
            </w:pPr>
            <w:r>
              <w:rPr/>
              <w:t> </w:t>
            </w:r>
          </w:p>
        </w:tc>
        <w:tc>
          <w:tcPr>
            <w:tcW w:w="5755"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Registrant</w:t>
            </w:r>
          </w:p>
        </w:tc>
      </w:tr>
      <w:tr>
        <w:trPr/>
        <w:tc>
          <w:tcPr>
            <w:tcW w:w="7380" w:type="dxa"/>
            <w:gridSpan w:val="3"/>
            <w:tcBorders/>
            <w:vAlign w:val="center"/>
          </w:tcPr>
          <w:p>
            <w:pPr>
              <w:pStyle w:val="TableContents"/>
              <w:bidi w:val="0"/>
              <w:spacing w:before="0" w:after="283"/>
              <w:jc w:val="left"/>
              <w:rPr/>
            </w:pPr>
            <w:r>
              <w:rPr/>
              <w:t> </w:t>
            </w:r>
          </w:p>
        </w:tc>
      </w:tr>
      <w:tr>
        <w:trPr/>
        <w:tc>
          <w:tcPr>
            <w:tcW w:w="162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5435" w:type="dxa"/>
            <w:tcBorders>
              <w:bottom w:val="single" w:sz="8" w:space="0" w:color="000000"/>
            </w:tcBorders>
            <w:tcMar>
              <w:bottom w:w="28" w:type="dxa"/>
            </w:tcMar>
            <w:vAlign w:val="center"/>
          </w:tcPr>
          <w:p>
            <w:pPr>
              <w:pStyle w:val="TableContents"/>
              <w:bidi w:val="0"/>
              <w:spacing w:before="0" w:after="283"/>
              <w:jc w:val="left"/>
              <w:rPr/>
            </w:pPr>
            <w:r>
              <w:rPr/>
              <w:t>/s/ Kevin D. Howard </w:t>
            </w:r>
          </w:p>
        </w:tc>
      </w:tr>
      <w:tr>
        <w:trPr/>
        <w:tc>
          <w:tcPr>
            <w:tcW w:w="162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4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Kevin D. Howard</w:t>
            </w:r>
          </w:p>
        </w:tc>
      </w:tr>
      <w:tr>
        <w:trPr/>
        <w:tc>
          <w:tcPr>
            <w:tcW w:w="16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July 23, 2026</w:t>
            </w:r>
          </w:p>
        </w:tc>
        <w:tc>
          <w:tcPr>
            <w:tcW w:w="320" w:type="dxa"/>
            <w:tcBorders/>
            <w:vAlign w:val="center"/>
          </w:tcPr>
          <w:p>
            <w:pPr>
              <w:pStyle w:val="TableContents"/>
              <w:bidi w:val="0"/>
              <w:spacing w:before="0" w:after="283"/>
              <w:jc w:val="left"/>
              <w:rPr/>
            </w:pPr>
            <w:r>
              <w:rPr/>
              <w:t> </w:t>
            </w:r>
          </w:p>
        </w:tc>
        <w:tc>
          <w:tcPr>
            <w:tcW w:w="54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Executive Vice President, Chief Accounting Officer and Controller</w:t>
            </w:r>
          </w:p>
        </w:tc>
      </w:tr>
      <w:tr>
        <w:trPr/>
        <w:tc>
          <w:tcPr>
            <w:tcW w:w="7380" w:type="dxa"/>
            <w:gridSpan w:val="3"/>
            <w:tcBorders/>
            <w:vAlign w:val="center"/>
          </w:tcPr>
          <w:p>
            <w:pPr>
              <w:pStyle w:val="TableContents"/>
              <w:bidi w:val="0"/>
              <w:spacing w:before="0" w:after="283"/>
              <w:jc w:val="left"/>
              <w:rPr/>
            </w:pPr>
            <w:r>
              <w:rPr/>
              <w:t> </w:t>
            </w:r>
          </w:p>
        </w:tc>
      </w:tr>
      <w:tr>
        <w:trPr/>
        <w:tc>
          <w:tcPr>
            <w:tcW w:w="1625" w:type="dxa"/>
            <w:tcBorders/>
            <w:vAlign w:val="center"/>
          </w:tcPr>
          <w:p>
            <w:pPr>
              <w:pStyle w:val="TableContents"/>
              <w:bidi w:val="0"/>
              <w:spacing w:before="0" w:after="283"/>
              <w:jc w:val="left"/>
              <w:rPr/>
            </w:pPr>
            <w:r>
              <w:rPr/>
              <w:t> </w:t>
            </w:r>
          </w:p>
        </w:tc>
        <w:tc>
          <w:tcPr>
            <w:tcW w:w="5755" w:type="dxa"/>
            <w:gridSpan w:val="2"/>
            <w:tcBorders/>
            <w:vAlign w:val="center"/>
          </w:tcPr>
          <w:p>
            <w:pPr>
              <w:pStyle w:val="TableContents"/>
              <w:bidi w:val="0"/>
              <w:spacing w:before="0" w:after="283"/>
              <w:jc w:val="left"/>
              <w:rPr/>
            </w:pPr>
            <w:r>
              <w:rPr/>
              <w:t>CCO Holdings, LLC</w:t>
            </w:r>
          </w:p>
        </w:tc>
      </w:tr>
      <w:tr>
        <w:trPr/>
        <w:tc>
          <w:tcPr>
            <w:tcW w:w="1625" w:type="dxa"/>
            <w:tcBorders/>
            <w:vAlign w:val="center"/>
          </w:tcPr>
          <w:p>
            <w:pPr>
              <w:pStyle w:val="TableContents"/>
              <w:bidi w:val="0"/>
              <w:spacing w:before="0" w:after="283"/>
              <w:jc w:val="left"/>
              <w:rPr/>
            </w:pPr>
            <w:r>
              <w:rPr/>
              <w:t> </w:t>
            </w:r>
          </w:p>
        </w:tc>
        <w:tc>
          <w:tcPr>
            <w:tcW w:w="5755"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Registrant</w:t>
            </w:r>
          </w:p>
        </w:tc>
      </w:tr>
      <w:tr>
        <w:trPr/>
        <w:tc>
          <w:tcPr>
            <w:tcW w:w="7380" w:type="dxa"/>
            <w:gridSpan w:val="3"/>
            <w:tcBorders/>
            <w:vAlign w:val="center"/>
          </w:tcPr>
          <w:p>
            <w:pPr>
              <w:pStyle w:val="TableContents"/>
              <w:bidi w:val="0"/>
              <w:spacing w:before="0" w:after="283"/>
              <w:jc w:val="left"/>
              <w:rPr/>
            </w:pPr>
            <w:r>
              <w:rPr/>
              <w:t> </w:t>
            </w:r>
          </w:p>
        </w:tc>
      </w:tr>
      <w:tr>
        <w:trPr/>
        <w:tc>
          <w:tcPr>
            <w:tcW w:w="162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5435" w:type="dxa"/>
            <w:tcBorders>
              <w:bottom w:val="single" w:sz="8" w:space="0" w:color="000000"/>
            </w:tcBorders>
            <w:tcMar>
              <w:bottom w:w="28" w:type="dxa"/>
            </w:tcMar>
            <w:vAlign w:val="center"/>
          </w:tcPr>
          <w:p>
            <w:pPr>
              <w:pStyle w:val="TableContents"/>
              <w:bidi w:val="0"/>
              <w:spacing w:before="0" w:after="283"/>
              <w:jc w:val="left"/>
              <w:rPr/>
            </w:pPr>
            <w:r>
              <w:rPr/>
              <w:t>/s/ Kevin D. Howard </w:t>
            </w:r>
          </w:p>
        </w:tc>
      </w:tr>
      <w:tr>
        <w:trPr/>
        <w:tc>
          <w:tcPr>
            <w:tcW w:w="162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4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Kevin D. Howard</w:t>
            </w:r>
          </w:p>
        </w:tc>
      </w:tr>
      <w:tr>
        <w:trPr/>
        <w:tc>
          <w:tcPr>
            <w:tcW w:w="16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July 23, 2026</w:t>
            </w:r>
          </w:p>
        </w:tc>
        <w:tc>
          <w:tcPr>
            <w:tcW w:w="320" w:type="dxa"/>
            <w:tcBorders/>
            <w:vAlign w:val="center"/>
          </w:tcPr>
          <w:p>
            <w:pPr>
              <w:pStyle w:val="TableContents"/>
              <w:bidi w:val="0"/>
              <w:spacing w:before="0" w:after="283"/>
              <w:jc w:val="left"/>
              <w:rPr/>
            </w:pPr>
            <w:r>
              <w:rPr/>
              <w:t> </w:t>
            </w:r>
          </w:p>
        </w:tc>
        <w:tc>
          <w:tcPr>
            <w:tcW w:w="54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Executive Vice President, Chief Accounting Officer and Controller</w:t>
            </w:r>
          </w:p>
        </w:tc>
      </w:tr>
      <w:tr>
        <w:trPr/>
        <w:tc>
          <w:tcPr>
            <w:tcW w:w="7380" w:type="dxa"/>
            <w:gridSpan w:val="3"/>
            <w:tcBorders/>
            <w:vAlign w:val="center"/>
          </w:tcPr>
          <w:p>
            <w:pPr>
              <w:pStyle w:val="TableContents"/>
              <w:bidi w:val="0"/>
              <w:spacing w:before="0" w:after="283"/>
              <w:jc w:val="left"/>
              <w:rPr/>
            </w:pPr>
            <w:r>
              <w:rPr/>
              <w:t> </w:t>
            </w:r>
          </w:p>
        </w:tc>
      </w:tr>
      <w:tr>
        <w:trPr/>
        <w:tc>
          <w:tcPr>
            <w:tcW w:w="1625" w:type="dxa"/>
            <w:tcBorders/>
            <w:vAlign w:val="center"/>
          </w:tcPr>
          <w:p>
            <w:pPr>
              <w:pStyle w:val="TableContents"/>
              <w:bidi w:val="0"/>
              <w:spacing w:before="0" w:after="283"/>
              <w:jc w:val="left"/>
              <w:rPr/>
            </w:pPr>
            <w:r>
              <w:rPr/>
              <w:t> </w:t>
            </w:r>
          </w:p>
        </w:tc>
        <w:tc>
          <w:tcPr>
            <w:tcW w:w="5755" w:type="dxa"/>
            <w:gridSpan w:val="2"/>
            <w:tcBorders/>
            <w:vAlign w:val="center"/>
          </w:tcPr>
          <w:p>
            <w:pPr>
              <w:pStyle w:val="TableContents"/>
              <w:bidi w:val="0"/>
              <w:spacing w:before="0" w:after="283"/>
              <w:jc w:val="left"/>
              <w:rPr/>
            </w:pPr>
            <w:r>
              <w:rPr/>
              <w:t>CCO Holdings Capital Corp.</w:t>
            </w:r>
          </w:p>
        </w:tc>
      </w:tr>
      <w:tr>
        <w:trPr/>
        <w:tc>
          <w:tcPr>
            <w:tcW w:w="1625" w:type="dxa"/>
            <w:tcBorders/>
            <w:vAlign w:val="center"/>
          </w:tcPr>
          <w:p>
            <w:pPr>
              <w:pStyle w:val="TableContents"/>
              <w:bidi w:val="0"/>
              <w:spacing w:before="0" w:after="283"/>
              <w:jc w:val="left"/>
              <w:rPr/>
            </w:pPr>
            <w:r>
              <w:rPr/>
              <w:t> </w:t>
            </w:r>
          </w:p>
        </w:tc>
        <w:tc>
          <w:tcPr>
            <w:tcW w:w="5755"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Registrant</w:t>
            </w:r>
          </w:p>
        </w:tc>
      </w:tr>
      <w:tr>
        <w:trPr/>
        <w:tc>
          <w:tcPr>
            <w:tcW w:w="7380" w:type="dxa"/>
            <w:gridSpan w:val="3"/>
            <w:tcBorders/>
            <w:vAlign w:val="center"/>
          </w:tcPr>
          <w:p>
            <w:pPr>
              <w:pStyle w:val="TableContents"/>
              <w:bidi w:val="0"/>
              <w:spacing w:before="0" w:after="283"/>
              <w:jc w:val="left"/>
              <w:rPr/>
            </w:pPr>
            <w:r>
              <w:rPr/>
              <w:t> </w:t>
            </w:r>
          </w:p>
        </w:tc>
      </w:tr>
      <w:tr>
        <w:trPr/>
        <w:tc>
          <w:tcPr>
            <w:tcW w:w="162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5435" w:type="dxa"/>
            <w:tcBorders>
              <w:bottom w:val="single" w:sz="8" w:space="0" w:color="000000"/>
            </w:tcBorders>
            <w:tcMar>
              <w:bottom w:w="28" w:type="dxa"/>
            </w:tcMar>
            <w:vAlign w:val="center"/>
          </w:tcPr>
          <w:p>
            <w:pPr>
              <w:pStyle w:val="TableContents"/>
              <w:bidi w:val="0"/>
              <w:spacing w:before="0" w:after="283"/>
              <w:jc w:val="left"/>
              <w:rPr/>
            </w:pPr>
            <w:r>
              <w:rPr/>
              <w:t>/s/ Kevin D. Howard </w:t>
            </w:r>
          </w:p>
        </w:tc>
      </w:tr>
      <w:tr>
        <w:trPr/>
        <w:tc>
          <w:tcPr>
            <w:tcW w:w="162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4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Kevin D. Howard</w:t>
            </w:r>
          </w:p>
        </w:tc>
      </w:tr>
      <w:tr>
        <w:trPr/>
        <w:tc>
          <w:tcPr>
            <w:tcW w:w="16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July 23, 2026</w:t>
            </w:r>
          </w:p>
        </w:tc>
        <w:tc>
          <w:tcPr>
            <w:tcW w:w="320" w:type="dxa"/>
            <w:tcBorders/>
            <w:vAlign w:val="center"/>
          </w:tcPr>
          <w:p>
            <w:pPr>
              <w:pStyle w:val="TableContents"/>
              <w:bidi w:val="0"/>
              <w:spacing w:before="0" w:after="283"/>
              <w:jc w:val="left"/>
              <w:rPr/>
            </w:pPr>
            <w:r>
              <w:rPr/>
              <w:t> </w:t>
            </w:r>
          </w:p>
        </w:tc>
        <w:tc>
          <w:tcPr>
            <w:tcW w:w="54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Executive Vice President, Chief Accounting Officer and Controller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left"/>
        <w:rPr/>
      </w:pPr>
      <w:bookmarkStart w:id="60" w:name="tm2621145d1_ex99-1.htm"/>
      <w:bookmarkStart w:id="61" w:name="kstm2621145d1_ex991"/>
      <w:bookmarkEnd w:id="60"/>
      <w:bookmarkEnd w:id="61"/>
      <w:r>
        <w:rPr/>
        <w:t> </w:t>
      </w:r>
      <w:r>
        <w:br w:type="page"/>
      </w:r>
    </w:p>
    <w:p>
      <w:pPr>
        <w:pStyle w:val="TextBody"/>
        <w:bidi w:val="0"/>
        <w:jc w:val="right"/>
        <w:rPr>
          <w:b/>
        </w:rPr>
      </w:pPr>
      <w:r>
        <w:rPr>
          <w:b/>
        </w:rPr>
        <w:t>Exhibit 99.1</w:t>
      </w:r>
    </w:p>
    <w:p>
      <w:pPr>
        <w:pStyle w:val="TextBody"/>
        <w:bidi w:val="0"/>
        <w:spacing w:before="0" w:after="283"/>
        <w:jc w:val="left"/>
        <w:rPr/>
      </w:pPr>
      <w:r>
        <w:rPr/>
        <w:t> </w:t>
      </w:r>
    </w:p>
    <w:p>
      <w:pPr>
        <w:pStyle w:val="TextBody"/>
        <w:bidi w:val="0"/>
        <w:spacing w:before="0" w:after="283"/>
        <w:jc w:val="left"/>
        <w:rPr/>
      </w:pPr>
      <w:r>
        <w:rPr/>
        <w:drawing>
          <wp:inline distT="0" distB="0" distL="0" distR="0">
            <wp:extent cx="2019300" cy="7143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019300" cy="714375"/>
                    </a:xfrm>
                    <a:prstGeom prst="rect">
                      <a:avLst/>
                    </a:prstGeom>
                  </pic:spPr>
                </pic:pic>
              </a:graphicData>
            </a:graphic>
          </wp:inline>
        </w:drawing>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Charter Announces Debt Exchange Offers</w:t>
      </w:r>
    </w:p>
    <w:p>
      <w:pPr>
        <w:pStyle w:val="TextBody"/>
        <w:bidi w:val="0"/>
        <w:spacing w:before="0" w:after="283"/>
        <w:jc w:val="left"/>
        <w:rPr/>
      </w:pPr>
      <w:r>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STAMFORD, Connecticut - July 23, 2026 - Charter Communications, Inc. (NASDAQ: CHTR) (along with its subsidiaries, “Charter”) announced today the commencement by its wholly-owned subsidiaries, Charter Communications Operating, LLC (“CCO”), Charter Communications Operating Capital Corp. (“CCO Capital” and, together with CCO, collectively, the “CCO Issuers” or the “Company”) and Time Warner Cable, LLC (the “TWC Issuer” and, together with CCO Issuers, the “Old Notes Issuers”) of a private offer to exchange (the “Pool 1 Offer”) seven series of notes issued by the CCO Issuers or the TWC Issuer, as applicable (collectively, the “Pool 1 Notes”), for a combination of cash consideration and a new series of Senior Secured Notes due 2038 (the “New 2038 Notes”) to be issued by the CCO Issuers with registration rights, as described and for the consideration summarized in the table below. The aggregate principal amount of Pool 1 Notes of each series that are accepted for exchange will be based on, among other things, the order of acceptance priority for such series as set forth in the table below and, with respect to the 4.500% senior debentures due 2042 issued by the TWC Issuer (the “4.500% Notes”), the sub-cap with respect to the aggregate principal amount of such series set forth in the table below (the “4.500% Notes Sub-Cap”), such that the aggregate principal amount of Pool 1 Notes accepted in the Pool 1 Offer results in the issuance of New 2038 Notes in an amount not exceeding $1,750,000,000 (the “New 2038 Notes Cap”).</w:t>
      </w:r>
    </w:p>
    <w:p>
      <w:pPr>
        <w:pStyle w:val="TextBody"/>
        <w:bidi w:val="0"/>
        <w:spacing w:before="0" w:after="0"/>
        <w:ind w:left="0" w:right="0" w:firstLine="720"/>
        <w:jc w:val="both"/>
        <w:rPr>
          <w:caps w:val="false"/>
          <w:smallCaps w:val="false"/>
        </w:rPr>
      </w:pPr>
      <w:r>
        <w:rPr>
          <w:caps w:val="false"/>
          <w:smallCaps w:val="false"/>
        </w:rPr>
        <w:t> </w:t>
      </w:r>
    </w:p>
    <w:tbl>
      <w:tblPr>
        <w:tblW w:w="10900" w:type="dxa"/>
        <w:jc w:val="left"/>
        <w:tblInd w:w="0" w:type="dxa"/>
        <w:tblLayout w:type="fixed"/>
        <w:tblCellMar>
          <w:top w:w="0" w:type="dxa"/>
          <w:left w:w="0" w:type="dxa"/>
          <w:bottom w:w="0" w:type="dxa"/>
          <w:right w:w="0" w:type="dxa"/>
        </w:tblCellMar>
      </w:tblPr>
      <w:tblGrid>
        <w:gridCol w:w="620"/>
        <w:gridCol w:w="905"/>
        <w:gridCol w:w="1310"/>
        <w:gridCol w:w="1520"/>
        <w:gridCol w:w="980"/>
        <w:gridCol w:w="1160"/>
        <w:gridCol w:w="860"/>
        <w:gridCol w:w="980"/>
        <w:gridCol w:w="620"/>
        <w:gridCol w:w="875"/>
        <w:gridCol w:w="1070"/>
      </w:tblGrid>
      <w:tr>
        <w:trPr/>
        <w:tc>
          <w:tcPr>
            <w:tcW w:w="620" w:type="dxa"/>
            <w:tcBorders/>
            <w:vAlign w:val="center"/>
          </w:tcPr>
          <w:p>
            <w:pPr>
              <w:pStyle w:val="TableContents"/>
              <w:bidi w:val="0"/>
              <w:spacing w:before="0" w:after="283"/>
              <w:jc w:val="center"/>
              <w:rPr>
                <w:b/>
                <w:sz w:val="20"/>
              </w:rPr>
            </w:pPr>
            <w:r>
              <w:rPr>
                <w:b/>
                <w:sz w:val="20"/>
              </w:rPr>
              <w:t>Issuer(s)</w:t>
            </w:r>
          </w:p>
        </w:tc>
        <w:tc>
          <w:tcPr>
            <w:tcW w:w="905" w:type="dxa"/>
            <w:tcBorders/>
            <w:vAlign w:val="center"/>
          </w:tcPr>
          <w:p>
            <w:pPr>
              <w:pStyle w:val="TableContents"/>
              <w:bidi w:val="0"/>
              <w:spacing w:before="0" w:after="283"/>
              <w:jc w:val="center"/>
              <w:rPr>
                <w:b/>
                <w:sz w:val="20"/>
              </w:rPr>
            </w:pPr>
            <w:r>
              <w:rPr>
                <w:b/>
                <w:sz w:val="20"/>
              </w:rPr>
              <w:t>Title of</w:t>
              <w:br/>
              <w:t>Security</w:t>
            </w:r>
          </w:p>
        </w:tc>
        <w:tc>
          <w:tcPr>
            <w:tcW w:w="1310" w:type="dxa"/>
            <w:tcBorders/>
            <w:vAlign w:val="center"/>
          </w:tcPr>
          <w:p>
            <w:pPr>
              <w:pStyle w:val="TableContents"/>
              <w:bidi w:val="0"/>
              <w:spacing w:before="0" w:after="283"/>
              <w:jc w:val="center"/>
              <w:rPr>
                <w:b/>
                <w:sz w:val="20"/>
              </w:rPr>
            </w:pPr>
            <w:r>
              <w:rPr>
                <w:b/>
                <w:sz w:val="20"/>
              </w:rPr>
              <w:t>Aggregate</w:t>
              <w:br/>
              <w:t>Principal</w:t>
              <w:br/>
              <w:t>Amount</w:t>
              <w:br/>
              <w:t>Outstanding</w:t>
            </w:r>
          </w:p>
        </w:tc>
        <w:tc>
          <w:tcPr>
            <w:tcW w:w="1520" w:type="dxa"/>
            <w:tcBorders/>
            <w:vAlign w:val="center"/>
          </w:tcPr>
          <w:p>
            <w:pPr>
              <w:pStyle w:val="TableContents"/>
              <w:bidi w:val="0"/>
              <w:spacing w:before="0" w:after="283"/>
              <w:jc w:val="center"/>
              <w:rPr>
                <w:b/>
                <w:sz w:val="20"/>
              </w:rPr>
            </w:pPr>
            <w:r>
              <w:rPr>
                <w:b/>
                <w:sz w:val="20"/>
              </w:rPr>
              <w:t>CUSIP No./</w:t>
              <w:br/>
              <w:t>ISIN</w:t>
            </w:r>
            <w:r>
              <w:rPr>
                <w:b/>
                <w:position w:val="7"/>
                <w:sz w:val="16"/>
                <w:sz w:val="20"/>
              </w:rPr>
              <w:t>(1)</w:t>
            </w:r>
          </w:p>
        </w:tc>
        <w:tc>
          <w:tcPr>
            <w:tcW w:w="980" w:type="dxa"/>
            <w:tcBorders/>
            <w:vAlign w:val="center"/>
          </w:tcPr>
          <w:p>
            <w:pPr>
              <w:pStyle w:val="TableContents"/>
              <w:bidi w:val="0"/>
              <w:spacing w:before="0" w:after="283"/>
              <w:jc w:val="center"/>
              <w:rPr>
                <w:b/>
                <w:sz w:val="20"/>
              </w:rPr>
            </w:pPr>
            <w:r>
              <w:rPr>
                <w:b/>
                <w:sz w:val="20"/>
              </w:rPr>
              <w:t>Acceptance</w:t>
              <w:br/>
              <w:t>Priority</w:t>
              <w:br/>
              <w:t>Level</w:t>
            </w:r>
            <w:r>
              <w:rPr>
                <w:b/>
                <w:position w:val="7"/>
                <w:sz w:val="16"/>
                <w:sz w:val="20"/>
              </w:rPr>
              <w:t>(2)</w:t>
            </w:r>
          </w:p>
        </w:tc>
        <w:tc>
          <w:tcPr>
            <w:tcW w:w="1160" w:type="dxa"/>
            <w:tcBorders/>
            <w:vAlign w:val="center"/>
          </w:tcPr>
          <w:p>
            <w:pPr>
              <w:pStyle w:val="TableContents"/>
              <w:bidi w:val="0"/>
              <w:spacing w:before="0" w:after="283"/>
              <w:jc w:val="center"/>
              <w:rPr>
                <w:b/>
                <w:sz w:val="20"/>
              </w:rPr>
            </w:pPr>
            <w:r>
              <w:rPr>
                <w:b/>
                <w:sz w:val="20"/>
              </w:rPr>
              <w:t>Sub-Cap</w:t>
            </w:r>
            <w:r>
              <w:rPr>
                <w:b/>
                <w:position w:val="7"/>
                <w:sz w:val="16"/>
                <w:sz w:val="20"/>
              </w:rPr>
              <w:t>(2)</w:t>
            </w:r>
          </w:p>
        </w:tc>
        <w:tc>
          <w:tcPr>
            <w:tcW w:w="860" w:type="dxa"/>
            <w:tcBorders/>
            <w:vAlign w:val="center"/>
          </w:tcPr>
          <w:p>
            <w:pPr>
              <w:pStyle w:val="TableContents"/>
              <w:bidi w:val="0"/>
              <w:spacing w:before="0" w:after="283"/>
              <w:jc w:val="center"/>
              <w:rPr>
                <w:b/>
                <w:sz w:val="20"/>
              </w:rPr>
            </w:pPr>
            <w:r>
              <w:rPr>
                <w:b/>
                <w:sz w:val="20"/>
              </w:rPr>
              <w:t>Reference</w:t>
              <w:br/>
              <w:t>Treasury</w:t>
            </w:r>
          </w:p>
        </w:tc>
        <w:tc>
          <w:tcPr>
            <w:tcW w:w="980" w:type="dxa"/>
            <w:tcBorders/>
            <w:vAlign w:val="center"/>
          </w:tcPr>
          <w:p>
            <w:pPr>
              <w:pStyle w:val="TableContents"/>
              <w:bidi w:val="0"/>
              <w:spacing w:before="0" w:after="283"/>
              <w:jc w:val="center"/>
              <w:rPr>
                <w:b/>
                <w:sz w:val="20"/>
              </w:rPr>
            </w:pPr>
            <w:r>
              <w:rPr>
                <w:b/>
                <w:sz w:val="20"/>
              </w:rPr>
              <w:t>Bloomberg</w:t>
              <w:br/>
              <w:t>Reference</w:t>
              <w:br/>
              <w:t>Page</w:t>
            </w:r>
            <w:r>
              <w:rPr>
                <w:b/>
                <w:position w:val="7"/>
                <w:sz w:val="16"/>
                <w:sz w:val="20"/>
              </w:rPr>
              <w:t>(3)</w:t>
            </w:r>
          </w:p>
        </w:tc>
        <w:tc>
          <w:tcPr>
            <w:tcW w:w="620" w:type="dxa"/>
            <w:tcBorders/>
            <w:vAlign w:val="center"/>
          </w:tcPr>
          <w:p>
            <w:pPr>
              <w:pStyle w:val="TableContents"/>
              <w:bidi w:val="0"/>
              <w:spacing w:before="0" w:after="283"/>
              <w:jc w:val="center"/>
              <w:rPr>
                <w:b/>
                <w:sz w:val="20"/>
              </w:rPr>
            </w:pPr>
            <w:r>
              <w:rPr>
                <w:b/>
                <w:sz w:val="20"/>
              </w:rPr>
              <w:t>Fixed</w:t>
              <w:br/>
              <w:t>Spread</w:t>
              <w:br/>
              <w:t>(Basis</w:t>
              <w:br/>
              <w:t>Points)</w:t>
            </w:r>
          </w:p>
        </w:tc>
        <w:tc>
          <w:tcPr>
            <w:tcW w:w="875" w:type="dxa"/>
            <w:tcBorders/>
            <w:vAlign w:val="center"/>
          </w:tcPr>
          <w:p>
            <w:pPr>
              <w:pStyle w:val="TableContents"/>
              <w:bidi w:val="0"/>
              <w:spacing w:before="0" w:after="283"/>
              <w:jc w:val="center"/>
              <w:rPr>
                <w:b/>
                <w:sz w:val="20"/>
              </w:rPr>
            </w:pPr>
            <w:r>
              <w:rPr>
                <w:b/>
                <w:sz w:val="20"/>
              </w:rPr>
              <w:t>Early</w:t>
              <w:br/>
              <w:t>Exchange</w:t>
              <w:br/>
              <w:t>Premium</w:t>
            </w:r>
            <w:r>
              <w:rPr>
                <w:b/>
                <w:position w:val="7"/>
                <w:sz w:val="16"/>
                <w:sz w:val="20"/>
              </w:rPr>
              <w:t>(4)(5)</w:t>
            </w:r>
          </w:p>
        </w:tc>
        <w:tc>
          <w:tcPr>
            <w:tcW w:w="1070" w:type="dxa"/>
            <w:tcBorders/>
            <w:vAlign w:val="center"/>
          </w:tcPr>
          <w:p>
            <w:pPr>
              <w:pStyle w:val="TableContents"/>
              <w:bidi w:val="0"/>
              <w:spacing w:before="0" w:after="283"/>
              <w:jc w:val="center"/>
              <w:rPr>
                <w:b/>
                <w:sz w:val="20"/>
              </w:rPr>
            </w:pPr>
            <w:r>
              <w:rPr>
                <w:b/>
                <w:sz w:val="20"/>
              </w:rPr>
              <w:t>Cash</w:t>
              <w:br/>
              <w:t>Component</w:t>
            </w:r>
            <w:r>
              <w:rPr>
                <w:b/>
                <w:position w:val="7"/>
                <w:sz w:val="16"/>
                <w:sz w:val="20"/>
              </w:rPr>
              <w:t>(6)</w:t>
            </w:r>
          </w:p>
        </w:tc>
      </w:tr>
      <w:tr>
        <w:trPr/>
        <w:tc>
          <w:tcPr>
            <w:tcW w:w="620" w:type="dxa"/>
            <w:vMerge w:val="restart"/>
            <w:tcBorders>
              <w:top w:val="single" w:sz="8" w:space="0" w:color="000000"/>
              <w:left w:val="single" w:sz="8" w:space="0" w:color="000000"/>
              <w:bottom w:val="single" w:sz="8" w:space="0" w:color="000000"/>
              <w:right w:val="single" w:sz="8" w:space="0" w:color="000000"/>
            </w:tcBorders>
            <w:tcMar>
              <w:top w:w="28" w:type="dxa"/>
              <w:left w:w="108" w:type="dxa"/>
              <w:bottom w:w="28" w:type="dxa"/>
              <w:right w:w="108" w:type="dxa"/>
            </w:tcMar>
            <w:vAlign w:val="center"/>
          </w:tcPr>
          <w:p>
            <w:pPr>
              <w:pStyle w:val="TableContents"/>
              <w:bidi w:val="0"/>
              <w:spacing w:before="0" w:after="283"/>
              <w:jc w:val="center"/>
              <w:rPr>
                <w:sz w:val="20"/>
              </w:rPr>
            </w:pPr>
            <w:r>
              <w:rPr>
                <w:sz w:val="20"/>
              </w:rPr>
              <w:t>CCO Issuers</w:t>
            </w:r>
          </w:p>
        </w:tc>
        <w:tc>
          <w:tcPr>
            <w:tcW w:w="905" w:type="dxa"/>
            <w:tcBorders>
              <w:top w:val="single" w:sz="8" w:space="0" w:color="000000"/>
              <w:bottom w:val="single" w:sz="8" w:space="0" w:color="000000"/>
              <w:right w:val="single" w:sz="8" w:space="0" w:color="000000"/>
            </w:tcBorders>
            <w:tcMar>
              <w:top w:w="28" w:type="dxa"/>
              <w:bottom w:w="28" w:type="dxa"/>
              <w:right w:w="108" w:type="dxa"/>
            </w:tcMar>
            <w:vAlign w:val="center"/>
          </w:tcPr>
          <w:p>
            <w:pPr>
              <w:pStyle w:val="TableContents"/>
              <w:bidi w:val="0"/>
              <w:spacing w:before="0" w:after="283"/>
              <w:jc w:val="center"/>
              <w:rPr>
                <w:sz w:val="20"/>
              </w:rPr>
            </w:pPr>
            <w:r>
              <w:rPr>
                <w:sz w:val="20"/>
              </w:rPr>
              <w:t>3.500% senior secured notes due 2042</w:t>
            </w:r>
          </w:p>
        </w:tc>
        <w:tc>
          <w:tcPr>
            <w:tcW w:w="1310" w:type="dxa"/>
            <w:tcBorders>
              <w:top w:val="single" w:sz="8" w:space="0" w:color="000000"/>
              <w:bottom w:val="single" w:sz="8" w:space="0" w:color="000000"/>
              <w:right w:val="single" w:sz="8" w:space="0" w:color="000000"/>
            </w:tcBorders>
            <w:tcMar>
              <w:top w:w="28" w:type="dxa"/>
              <w:bottom w:w="28" w:type="dxa"/>
              <w:right w:w="108" w:type="dxa"/>
            </w:tcMar>
            <w:vAlign w:val="center"/>
          </w:tcPr>
          <w:p>
            <w:pPr>
              <w:pStyle w:val="TableContents"/>
              <w:bidi w:val="0"/>
              <w:spacing w:before="0" w:after="283"/>
              <w:jc w:val="center"/>
              <w:rPr>
                <w:sz w:val="20"/>
              </w:rPr>
            </w:pPr>
            <w:r>
              <w:rPr>
                <w:sz w:val="20"/>
              </w:rPr>
              <w:t>$1,236,000,000</w:t>
            </w:r>
          </w:p>
        </w:tc>
        <w:tc>
          <w:tcPr>
            <w:tcW w:w="1520" w:type="dxa"/>
            <w:tcBorders>
              <w:top w:val="single" w:sz="8" w:space="0" w:color="000000"/>
              <w:bottom w:val="single" w:sz="8" w:space="0" w:color="000000"/>
              <w:right w:val="single" w:sz="8" w:space="0" w:color="000000"/>
            </w:tcBorders>
            <w:tcMar>
              <w:top w:w="28" w:type="dxa"/>
              <w:bottom w:w="28" w:type="dxa"/>
              <w:right w:w="108" w:type="dxa"/>
            </w:tcMar>
            <w:vAlign w:val="center"/>
          </w:tcPr>
          <w:p>
            <w:pPr>
              <w:pStyle w:val="TableContents"/>
              <w:bidi w:val="0"/>
              <w:spacing w:before="0" w:after="283"/>
              <w:jc w:val="center"/>
              <w:rPr>
                <w:sz w:val="20"/>
              </w:rPr>
            </w:pPr>
            <w:r>
              <w:rPr>
                <w:sz w:val="20"/>
              </w:rPr>
              <w:t>161175CE2 / US161175CE27</w:t>
            </w:r>
          </w:p>
        </w:tc>
        <w:tc>
          <w:tcPr>
            <w:tcW w:w="980" w:type="dxa"/>
            <w:tcBorders>
              <w:top w:val="single" w:sz="8" w:space="0" w:color="000000"/>
              <w:bottom w:val="single" w:sz="8" w:space="0" w:color="000000"/>
              <w:right w:val="single" w:sz="8" w:space="0" w:color="000000"/>
            </w:tcBorders>
            <w:tcMar>
              <w:top w:w="28" w:type="dxa"/>
              <w:bottom w:w="28" w:type="dxa"/>
              <w:right w:w="108" w:type="dxa"/>
            </w:tcMar>
            <w:vAlign w:val="center"/>
          </w:tcPr>
          <w:p>
            <w:pPr>
              <w:pStyle w:val="TableContents"/>
              <w:bidi w:val="0"/>
              <w:spacing w:before="0" w:after="283"/>
              <w:jc w:val="center"/>
              <w:rPr>
                <w:sz w:val="20"/>
              </w:rPr>
            </w:pPr>
            <w:r>
              <w:rPr>
                <w:sz w:val="20"/>
              </w:rPr>
              <w:t>1</w:t>
            </w:r>
          </w:p>
        </w:tc>
        <w:tc>
          <w:tcPr>
            <w:tcW w:w="1160" w:type="dxa"/>
            <w:tcBorders>
              <w:top w:val="single" w:sz="8" w:space="0" w:color="000000"/>
              <w:bottom w:val="single" w:sz="8" w:space="0" w:color="000000"/>
              <w:right w:val="single" w:sz="8" w:space="0" w:color="000000"/>
            </w:tcBorders>
            <w:tcMar>
              <w:top w:w="28" w:type="dxa"/>
              <w:bottom w:w="28" w:type="dxa"/>
              <w:right w:w="108" w:type="dxa"/>
            </w:tcMar>
            <w:vAlign w:val="center"/>
          </w:tcPr>
          <w:p>
            <w:pPr>
              <w:pStyle w:val="TableContents"/>
              <w:bidi w:val="0"/>
              <w:spacing w:before="0" w:after="283"/>
              <w:jc w:val="center"/>
              <w:rPr>
                <w:sz w:val="20"/>
              </w:rPr>
            </w:pPr>
            <w:r>
              <w:rPr>
                <w:sz w:val="20"/>
              </w:rPr>
              <w:t>N/A</w:t>
            </w:r>
          </w:p>
        </w:tc>
        <w:tc>
          <w:tcPr>
            <w:tcW w:w="860" w:type="dxa"/>
            <w:tcBorders>
              <w:top w:val="single" w:sz="8" w:space="0" w:color="000000"/>
              <w:bottom w:val="single" w:sz="8" w:space="0" w:color="000000"/>
              <w:right w:val="single" w:sz="8" w:space="0" w:color="000000"/>
            </w:tcBorders>
            <w:tcMar>
              <w:top w:w="28" w:type="dxa"/>
              <w:bottom w:w="28" w:type="dxa"/>
              <w:right w:w="108" w:type="dxa"/>
            </w:tcMar>
            <w:vAlign w:val="center"/>
          </w:tcPr>
          <w:p>
            <w:pPr>
              <w:pStyle w:val="TableContents"/>
              <w:bidi w:val="0"/>
              <w:spacing w:before="0" w:after="283"/>
              <w:jc w:val="center"/>
              <w:rPr>
                <w:sz w:val="20"/>
              </w:rPr>
            </w:pPr>
            <w:r>
              <w:rPr>
                <w:sz w:val="20"/>
              </w:rPr>
              <w:t>5.000% due May 15, 2046</w:t>
            </w:r>
          </w:p>
        </w:tc>
        <w:tc>
          <w:tcPr>
            <w:tcW w:w="980" w:type="dxa"/>
            <w:tcBorders>
              <w:top w:val="single" w:sz="8" w:space="0" w:color="000000"/>
              <w:bottom w:val="single" w:sz="8" w:space="0" w:color="000000"/>
              <w:right w:val="single" w:sz="8" w:space="0" w:color="000000"/>
            </w:tcBorders>
            <w:tcMar>
              <w:top w:w="28" w:type="dxa"/>
              <w:bottom w:w="28" w:type="dxa"/>
              <w:right w:w="108" w:type="dxa"/>
            </w:tcMar>
            <w:vAlign w:val="center"/>
          </w:tcPr>
          <w:p>
            <w:pPr>
              <w:pStyle w:val="TableContents"/>
              <w:bidi w:val="0"/>
              <w:spacing w:before="0" w:after="283"/>
              <w:jc w:val="center"/>
              <w:rPr>
                <w:sz w:val="20"/>
              </w:rPr>
            </w:pPr>
            <w:r>
              <w:rPr>
                <w:sz w:val="20"/>
              </w:rPr>
              <w:t>FIT 1</w:t>
            </w:r>
          </w:p>
        </w:tc>
        <w:tc>
          <w:tcPr>
            <w:tcW w:w="620" w:type="dxa"/>
            <w:tcBorders>
              <w:top w:val="single" w:sz="8" w:space="0" w:color="000000"/>
              <w:bottom w:val="single" w:sz="8" w:space="0" w:color="000000"/>
              <w:right w:val="single" w:sz="8" w:space="0" w:color="000000"/>
            </w:tcBorders>
            <w:tcMar>
              <w:top w:w="28" w:type="dxa"/>
              <w:bottom w:w="28" w:type="dxa"/>
              <w:right w:w="108" w:type="dxa"/>
            </w:tcMar>
            <w:vAlign w:val="center"/>
          </w:tcPr>
          <w:p>
            <w:pPr>
              <w:pStyle w:val="TableContents"/>
              <w:bidi w:val="0"/>
              <w:spacing w:before="0" w:after="283"/>
              <w:jc w:val="center"/>
              <w:rPr>
                <w:sz w:val="20"/>
              </w:rPr>
            </w:pPr>
            <w:r>
              <w:rPr>
                <w:sz w:val="20"/>
              </w:rPr>
              <w:t>+165 Bps</w:t>
            </w:r>
          </w:p>
        </w:tc>
        <w:tc>
          <w:tcPr>
            <w:tcW w:w="875" w:type="dxa"/>
            <w:tcBorders>
              <w:top w:val="single" w:sz="8" w:space="0" w:color="000000"/>
              <w:bottom w:val="single" w:sz="8" w:space="0" w:color="000000"/>
              <w:right w:val="single" w:sz="8" w:space="0" w:color="000000"/>
            </w:tcBorders>
            <w:tcMar>
              <w:top w:w="28" w:type="dxa"/>
              <w:bottom w:w="28" w:type="dxa"/>
              <w:right w:w="108" w:type="dxa"/>
            </w:tcMar>
            <w:vAlign w:val="center"/>
          </w:tcPr>
          <w:p>
            <w:pPr>
              <w:pStyle w:val="TableContents"/>
              <w:bidi w:val="0"/>
              <w:spacing w:before="0" w:after="283"/>
              <w:jc w:val="center"/>
              <w:rPr>
                <w:sz w:val="20"/>
              </w:rPr>
            </w:pPr>
            <w:r>
              <w:rPr>
                <w:sz w:val="20"/>
              </w:rPr>
              <w:t xml:space="preserve">$50.00 </w:t>
            </w:r>
          </w:p>
        </w:tc>
        <w:tc>
          <w:tcPr>
            <w:tcW w:w="1070" w:type="dxa"/>
            <w:tcBorders>
              <w:top w:val="single" w:sz="8" w:space="0" w:color="000000"/>
              <w:bottom w:val="single" w:sz="8" w:space="0" w:color="000000"/>
              <w:right w:val="single" w:sz="8" w:space="0" w:color="000000"/>
            </w:tcBorders>
            <w:tcMar>
              <w:top w:w="28" w:type="dxa"/>
              <w:bottom w:w="28" w:type="dxa"/>
              <w:right w:w="108" w:type="dxa"/>
            </w:tcMar>
            <w:vAlign w:val="center"/>
          </w:tcPr>
          <w:p>
            <w:pPr>
              <w:pStyle w:val="TableContents"/>
              <w:bidi w:val="0"/>
              <w:spacing w:before="0" w:after="283"/>
              <w:jc w:val="center"/>
              <w:rPr>
                <w:sz w:val="20"/>
              </w:rPr>
            </w:pPr>
            <w:r>
              <w:rPr>
                <w:sz w:val="20"/>
              </w:rPr>
              <w:t>$95.00</w:t>
            </w:r>
          </w:p>
        </w:tc>
      </w:tr>
      <w:tr>
        <w:trPr/>
        <w:tc>
          <w:tcPr>
            <w:tcW w:w="620" w:type="dxa"/>
            <w:vMerge w:val="continue"/>
            <w:tcBorders>
              <w:top w:val="single" w:sz="8" w:space="0" w:color="000000"/>
              <w:left w:val="single" w:sz="8" w:space="0" w:color="000000"/>
              <w:bottom w:val="single" w:sz="8" w:space="0" w:color="000000"/>
              <w:right w:val="single" w:sz="8" w:space="0" w:color="000000"/>
            </w:tcBorders>
            <w:tcMar>
              <w:top w:w="28" w:type="dxa"/>
              <w:left w:w="108" w:type="dxa"/>
              <w:bottom w:w="28" w:type="dxa"/>
              <w:right w:w="108" w:type="dxa"/>
            </w:tcMar>
            <w:vAlign w:val="center"/>
          </w:tcPr>
          <w:p>
            <w:pPr>
              <w:pStyle w:val="Normal"/>
              <w:bidi w:val="0"/>
              <w:jc w:val="left"/>
              <w:rPr/>
            </w:pPr>
            <w:r>
              <w:rPr/>
            </w:r>
          </w:p>
        </w:tc>
        <w:tc>
          <w:tcPr>
            <w:tcW w:w="905" w:type="dxa"/>
            <w:tcBorders>
              <w:bottom w:val="single" w:sz="8" w:space="0" w:color="000000"/>
              <w:right w:val="single" w:sz="8" w:space="0" w:color="000000"/>
            </w:tcBorders>
            <w:tcMar>
              <w:bottom w:w="28" w:type="dxa"/>
              <w:right w:w="108" w:type="dxa"/>
            </w:tcMar>
            <w:vAlign w:val="center"/>
          </w:tcPr>
          <w:p>
            <w:pPr>
              <w:pStyle w:val="TableContents"/>
              <w:bidi w:val="0"/>
              <w:spacing w:before="0" w:after="283"/>
              <w:jc w:val="center"/>
              <w:rPr>
                <w:sz w:val="20"/>
              </w:rPr>
            </w:pPr>
            <w:r>
              <w:rPr>
                <w:sz w:val="20"/>
              </w:rPr>
              <w:t>3.500% senior secured notes due 2041</w:t>
            </w:r>
          </w:p>
        </w:tc>
        <w:tc>
          <w:tcPr>
            <w:tcW w:w="1310" w:type="dxa"/>
            <w:tcBorders>
              <w:bottom w:val="single" w:sz="8" w:space="0" w:color="000000"/>
              <w:right w:val="single" w:sz="8" w:space="0" w:color="000000"/>
            </w:tcBorders>
            <w:tcMar>
              <w:bottom w:w="28" w:type="dxa"/>
              <w:right w:w="108" w:type="dxa"/>
            </w:tcMar>
            <w:vAlign w:val="center"/>
          </w:tcPr>
          <w:p>
            <w:pPr>
              <w:pStyle w:val="TableContents"/>
              <w:bidi w:val="0"/>
              <w:spacing w:before="0" w:after="283"/>
              <w:jc w:val="center"/>
              <w:rPr>
                <w:sz w:val="20"/>
              </w:rPr>
            </w:pPr>
            <w:r>
              <w:rPr>
                <w:sz w:val="20"/>
              </w:rPr>
              <w:t>$1,479,000,000</w:t>
            </w:r>
          </w:p>
        </w:tc>
        <w:tc>
          <w:tcPr>
            <w:tcW w:w="1520" w:type="dxa"/>
            <w:tcBorders>
              <w:bottom w:val="single" w:sz="8" w:space="0" w:color="000000"/>
              <w:right w:val="single" w:sz="8" w:space="0" w:color="000000"/>
            </w:tcBorders>
            <w:tcMar>
              <w:bottom w:w="28" w:type="dxa"/>
              <w:right w:w="108" w:type="dxa"/>
            </w:tcMar>
            <w:vAlign w:val="center"/>
          </w:tcPr>
          <w:p>
            <w:pPr>
              <w:pStyle w:val="TableContents"/>
              <w:bidi w:val="0"/>
              <w:spacing w:before="0" w:after="283"/>
              <w:jc w:val="center"/>
              <w:rPr>
                <w:sz w:val="20"/>
              </w:rPr>
            </w:pPr>
            <w:r>
              <w:rPr>
                <w:sz w:val="20"/>
              </w:rPr>
              <w:t>161175BZ6 / US161175BZ64</w:t>
            </w:r>
          </w:p>
        </w:tc>
        <w:tc>
          <w:tcPr>
            <w:tcW w:w="980" w:type="dxa"/>
            <w:tcBorders>
              <w:bottom w:val="single" w:sz="8" w:space="0" w:color="000000"/>
              <w:right w:val="single" w:sz="8" w:space="0" w:color="000000"/>
            </w:tcBorders>
            <w:tcMar>
              <w:bottom w:w="28" w:type="dxa"/>
              <w:right w:w="108" w:type="dxa"/>
            </w:tcMar>
            <w:vAlign w:val="center"/>
          </w:tcPr>
          <w:p>
            <w:pPr>
              <w:pStyle w:val="TableContents"/>
              <w:bidi w:val="0"/>
              <w:spacing w:before="0" w:after="283"/>
              <w:jc w:val="center"/>
              <w:rPr>
                <w:sz w:val="20"/>
              </w:rPr>
            </w:pPr>
            <w:r>
              <w:rPr>
                <w:sz w:val="20"/>
              </w:rPr>
              <w:t>2</w:t>
            </w:r>
          </w:p>
        </w:tc>
        <w:tc>
          <w:tcPr>
            <w:tcW w:w="1160" w:type="dxa"/>
            <w:tcBorders>
              <w:bottom w:val="single" w:sz="8" w:space="0" w:color="000000"/>
              <w:right w:val="single" w:sz="8" w:space="0" w:color="000000"/>
            </w:tcBorders>
            <w:tcMar>
              <w:bottom w:w="28" w:type="dxa"/>
              <w:right w:w="108" w:type="dxa"/>
            </w:tcMar>
            <w:vAlign w:val="center"/>
          </w:tcPr>
          <w:p>
            <w:pPr>
              <w:pStyle w:val="TableContents"/>
              <w:bidi w:val="0"/>
              <w:spacing w:before="0" w:after="283"/>
              <w:jc w:val="center"/>
              <w:rPr>
                <w:sz w:val="20"/>
              </w:rPr>
            </w:pPr>
            <w:r>
              <w:rPr>
                <w:sz w:val="20"/>
              </w:rPr>
              <w:t>N/A</w:t>
            </w:r>
          </w:p>
        </w:tc>
        <w:tc>
          <w:tcPr>
            <w:tcW w:w="860" w:type="dxa"/>
            <w:tcBorders>
              <w:bottom w:val="single" w:sz="8" w:space="0" w:color="000000"/>
              <w:right w:val="single" w:sz="8" w:space="0" w:color="000000"/>
            </w:tcBorders>
            <w:tcMar>
              <w:bottom w:w="28" w:type="dxa"/>
              <w:right w:w="108" w:type="dxa"/>
            </w:tcMar>
            <w:vAlign w:val="center"/>
          </w:tcPr>
          <w:p>
            <w:pPr>
              <w:pStyle w:val="TableContents"/>
              <w:bidi w:val="0"/>
              <w:spacing w:before="0" w:after="283"/>
              <w:jc w:val="center"/>
              <w:rPr>
                <w:sz w:val="20"/>
              </w:rPr>
            </w:pPr>
            <w:r>
              <w:rPr>
                <w:sz w:val="20"/>
              </w:rPr>
              <w:t>4.375% due May 15, 2036</w:t>
            </w:r>
          </w:p>
        </w:tc>
        <w:tc>
          <w:tcPr>
            <w:tcW w:w="980" w:type="dxa"/>
            <w:tcBorders>
              <w:bottom w:val="single" w:sz="8" w:space="0" w:color="000000"/>
              <w:right w:val="single" w:sz="8" w:space="0" w:color="000000"/>
            </w:tcBorders>
            <w:tcMar>
              <w:bottom w:w="28" w:type="dxa"/>
              <w:right w:w="108" w:type="dxa"/>
            </w:tcMar>
            <w:vAlign w:val="center"/>
          </w:tcPr>
          <w:p>
            <w:pPr>
              <w:pStyle w:val="TableContents"/>
              <w:bidi w:val="0"/>
              <w:spacing w:before="0" w:after="283"/>
              <w:jc w:val="center"/>
              <w:rPr>
                <w:sz w:val="20"/>
              </w:rPr>
            </w:pPr>
            <w:r>
              <w:rPr>
                <w:sz w:val="20"/>
              </w:rPr>
              <w:t>FIT 1</w:t>
            </w:r>
          </w:p>
        </w:tc>
        <w:tc>
          <w:tcPr>
            <w:tcW w:w="620" w:type="dxa"/>
            <w:tcBorders>
              <w:bottom w:val="single" w:sz="8" w:space="0" w:color="000000"/>
              <w:right w:val="single" w:sz="8" w:space="0" w:color="000000"/>
            </w:tcBorders>
            <w:tcMar>
              <w:bottom w:w="28" w:type="dxa"/>
              <w:right w:w="108" w:type="dxa"/>
            </w:tcMar>
            <w:vAlign w:val="center"/>
          </w:tcPr>
          <w:p>
            <w:pPr>
              <w:pStyle w:val="TableContents"/>
              <w:bidi w:val="0"/>
              <w:spacing w:before="0" w:after="283"/>
              <w:jc w:val="center"/>
              <w:rPr>
                <w:sz w:val="20"/>
              </w:rPr>
            </w:pPr>
            <w:r>
              <w:rPr>
                <w:sz w:val="20"/>
              </w:rPr>
              <w:t>+215 Bps</w:t>
            </w:r>
          </w:p>
        </w:tc>
        <w:tc>
          <w:tcPr>
            <w:tcW w:w="875" w:type="dxa"/>
            <w:tcBorders>
              <w:bottom w:val="single" w:sz="8" w:space="0" w:color="000000"/>
              <w:right w:val="single" w:sz="8" w:space="0" w:color="000000"/>
            </w:tcBorders>
            <w:tcMar>
              <w:bottom w:w="28" w:type="dxa"/>
              <w:right w:w="108" w:type="dxa"/>
            </w:tcMar>
            <w:vAlign w:val="center"/>
          </w:tcPr>
          <w:p>
            <w:pPr>
              <w:pStyle w:val="TableContents"/>
              <w:bidi w:val="0"/>
              <w:spacing w:before="0" w:after="283"/>
              <w:jc w:val="center"/>
              <w:rPr>
                <w:sz w:val="20"/>
              </w:rPr>
            </w:pPr>
            <w:r>
              <w:rPr>
                <w:sz w:val="20"/>
              </w:rPr>
              <w:t xml:space="preserve">$50.00 </w:t>
            </w:r>
          </w:p>
        </w:tc>
        <w:tc>
          <w:tcPr>
            <w:tcW w:w="1070" w:type="dxa"/>
            <w:tcBorders>
              <w:bottom w:val="single" w:sz="8" w:space="0" w:color="000000"/>
              <w:right w:val="single" w:sz="8" w:space="0" w:color="000000"/>
            </w:tcBorders>
            <w:tcMar>
              <w:bottom w:w="28" w:type="dxa"/>
              <w:right w:w="108" w:type="dxa"/>
            </w:tcMar>
            <w:vAlign w:val="center"/>
          </w:tcPr>
          <w:p>
            <w:pPr>
              <w:pStyle w:val="TableContents"/>
              <w:bidi w:val="0"/>
              <w:spacing w:before="0" w:after="283"/>
              <w:jc w:val="center"/>
              <w:rPr>
                <w:sz w:val="20"/>
              </w:rPr>
            </w:pPr>
            <w:r>
              <w:rPr>
                <w:sz w:val="20"/>
              </w:rPr>
              <w:t>$130.00</w:t>
            </w:r>
          </w:p>
        </w:tc>
      </w:tr>
      <w:tr>
        <w:trPr/>
        <w:tc>
          <w:tcPr>
            <w:tcW w:w="620" w:type="dxa"/>
            <w:tcBorders>
              <w:left w:val="single" w:sz="8" w:space="0" w:color="000000"/>
              <w:bottom w:val="single" w:sz="8" w:space="0" w:color="000000"/>
              <w:right w:val="single" w:sz="8" w:space="0" w:color="000000"/>
            </w:tcBorders>
            <w:tcMar>
              <w:left w:w="108" w:type="dxa"/>
              <w:bottom w:w="28" w:type="dxa"/>
              <w:right w:w="108" w:type="dxa"/>
            </w:tcMar>
            <w:vAlign w:val="center"/>
          </w:tcPr>
          <w:p>
            <w:pPr>
              <w:pStyle w:val="TableContents"/>
              <w:bidi w:val="0"/>
              <w:spacing w:before="0" w:after="283"/>
              <w:jc w:val="center"/>
              <w:rPr>
                <w:sz w:val="20"/>
              </w:rPr>
            </w:pPr>
            <w:r>
              <w:rPr>
                <w:sz w:val="20"/>
              </w:rPr>
              <w:t>Time Warner Cable, LLC (“TWC Issuer” or “TWC”)</w:t>
            </w:r>
          </w:p>
        </w:tc>
        <w:tc>
          <w:tcPr>
            <w:tcW w:w="905" w:type="dxa"/>
            <w:tcBorders>
              <w:bottom w:val="single" w:sz="8" w:space="0" w:color="000000"/>
              <w:right w:val="single" w:sz="8" w:space="0" w:color="000000"/>
            </w:tcBorders>
            <w:tcMar>
              <w:bottom w:w="28" w:type="dxa"/>
              <w:right w:w="108" w:type="dxa"/>
            </w:tcMar>
            <w:vAlign w:val="center"/>
          </w:tcPr>
          <w:p>
            <w:pPr>
              <w:pStyle w:val="TableContents"/>
              <w:bidi w:val="0"/>
              <w:spacing w:before="0" w:after="283"/>
              <w:jc w:val="center"/>
              <w:rPr>
                <w:sz w:val="20"/>
              </w:rPr>
            </w:pPr>
            <w:r>
              <w:rPr>
                <w:sz w:val="20"/>
              </w:rPr>
              <w:t>4.500% senior debentures due 2042</w:t>
            </w:r>
          </w:p>
        </w:tc>
        <w:tc>
          <w:tcPr>
            <w:tcW w:w="1310" w:type="dxa"/>
            <w:tcBorders>
              <w:bottom w:val="single" w:sz="8" w:space="0" w:color="000000"/>
              <w:right w:val="single" w:sz="8" w:space="0" w:color="000000"/>
            </w:tcBorders>
            <w:tcMar>
              <w:bottom w:w="28" w:type="dxa"/>
              <w:right w:w="108" w:type="dxa"/>
            </w:tcMar>
            <w:vAlign w:val="center"/>
          </w:tcPr>
          <w:p>
            <w:pPr>
              <w:pStyle w:val="TableContents"/>
              <w:bidi w:val="0"/>
              <w:spacing w:before="0" w:after="283"/>
              <w:jc w:val="center"/>
              <w:rPr>
                <w:sz w:val="20"/>
              </w:rPr>
            </w:pPr>
            <w:r>
              <w:rPr>
                <w:sz w:val="20"/>
              </w:rPr>
              <w:t>$1,250,000,000</w:t>
            </w:r>
          </w:p>
        </w:tc>
        <w:tc>
          <w:tcPr>
            <w:tcW w:w="1520" w:type="dxa"/>
            <w:tcBorders>
              <w:bottom w:val="single" w:sz="8" w:space="0" w:color="000000"/>
              <w:right w:val="single" w:sz="8" w:space="0" w:color="000000"/>
            </w:tcBorders>
            <w:tcMar>
              <w:bottom w:w="28" w:type="dxa"/>
              <w:right w:w="108" w:type="dxa"/>
            </w:tcMar>
            <w:vAlign w:val="center"/>
          </w:tcPr>
          <w:p>
            <w:pPr>
              <w:pStyle w:val="TableContents"/>
              <w:bidi w:val="0"/>
              <w:spacing w:before="0" w:after="283"/>
              <w:jc w:val="center"/>
              <w:rPr>
                <w:sz w:val="20"/>
              </w:rPr>
            </w:pPr>
            <w:r>
              <w:rPr>
                <w:sz w:val="20"/>
              </w:rPr>
              <w:t>88732JBD9 / US88732JBD90</w:t>
            </w:r>
          </w:p>
        </w:tc>
        <w:tc>
          <w:tcPr>
            <w:tcW w:w="980" w:type="dxa"/>
            <w:tcBorders>
              <w:bottom w:val="single" w:sz="8" w:space="0" w:color="000000"/>
              <w:right w:val="single" w:sz="8" w:space="0" w:color="000000"/>
            </w:tcBorders>
            <w:tcMar>
              <w:bottom w:w="28" w:type="dxa"/>
              <w:right w:w="108" w:type="dxa"/>
            </w:tcMar>
            <w:vAlign w:val="center"/>
          </w:tcPr>
          <w:p>
            <w:pPr>
              <w:pStyle w:val="TableContents"/>
              <w:bidi w:val="0"/>
              <w:spacing w:before="0" w:after="283"/>
              <w:jc w:val="center"/>
              <w:rPr>
                <w:sz w:val="20"/>
              </w:rPr>
            </w:pPr>
            <w:r>
              <w:rPr>
                <w:sz w:val="20"/>
              </w:rPr>
              <w:t>3</w:t>
            </w:r>
          </w:p>
        </w:tc>
        <w:tc>
          <w:tcPr>
            <w:tcW w:w="1160" w:type="dxa"/>
            <w:tcBorders>
              <w:bottom w:val="single" w:sz="8" w:space="0" w:color="000000"/>
              <w:right w:val="single" w:sz="8" w:space="0" w:color="000000"/>
            </w:tcBorders>
            <w:tcMar>
              <w:bottom w:w="28" w:type="dxa"/>
              <w:right w:w="108" w:type="dxa"/>
            </w:tcMar>
            <w:vAlign w:val="center"/>
          </w:tcPr>
          <w:p>
            <w:pPr>
              <w:pStyle w:val="TableContents"/>
              <w:bidi w:val="0"/>
              <w:spacing w:before="0" w:after="283"/>
              <w:jc w:val="center"/>
              <w:rPr>
                <w:sz w:val="20"/>
              </w:rPr>
            </w:pPr>
            <w:r>
              <w:rPr>
                <w:sz w:val="20"/>
              </w:rPr>
              <w:t xml:space="preserve">$450,000,000 </w:t>
            </w:r>
          </w:p>
        </w:tc>
        <w:tc>
          <w:tcPr>
            <w:tcW w:w="860" w:type="dxa"/>
            <w:tcBorders>
              <w:bottom w:val="single" w:sz="8" w:space="0" w:color="000000"/>
              <w:right w:val="single" w:sz="8" w:space="0" w:color="000000"/>
            </w:tcBorders>
            <w:tcMar>
              <w:bottom w:w="28" w:type="dxa"/>
              <w:right w:w="108" w:type="dxa"/>
            </w:tcMar>
            <w:vAlign w:val="center"/>
          </w:tcPr>
          <w:p>
            <w:pPr>
              <w:pStyle w:val="TableContents"/>
              <w:bidi w:val="0"/>
              <w:spacing w:before="0" w:after="283"/>
              <w:jc w:val="center"/>
              <w:rPr>
                <w:sz w:val="20"/>
              </w:rPr>
            </w:pPr>
            <w:r>
              <w:rPr>
                <w:sz w:val="20"/>
              </w:rPr>
              <w:t>5.000% due May 15, 2046</w:t>
            </w:r>
          </w:p>
        </w:tc>
        <w:tc>
          <w:tcPr>
            <w:tcW w:w="980" w:type="dxa"/>
            <w:tcBorders>
              <w:bottom w:val="single" w:sz="8" w:space="0" w:color="000000"/>
              <w:right w:val="single" w:sz="8" w:space="0" w:color="000000"/>
            </w:tcBorders>
            <w:tcMar>
              <w:bottom w:w="28" w:type="dxa"/>
              <w:right w:w="108" w:type="dxa"/>
            </w:tcMar>
            <w:vAlign w:val="center"/>
          </w:tcPr>
          <w:p>
            <w:pPr>
              <w:pStyle w:val="TableContents"/>
              <w:bidi w:val="0"/>
              <w:spacing w:before="0" w:after="283"/>
              <w:jc w:val="center"/>
              <w:rPr>
                <w:sz w:val="20"/>
              </w:rPr>
            </w:pPr>
            <w:r>
              <w:rPr>
                <w:sz w:val="20"/>
              </w:rPr>
              <w:t>FIT 1</w:t>
            </w:r>
          </w:p>
        </w:tc>
        <w:tc>
          <w:tcPr>
            <w:tcW w:w="620" w:type="dxa"/>
            <w:tcBorders>
              <w:bottom w:val="single" w:sz="8" w:space="0" w:color="000000"/>
              <w:right w:val="single" w:sz="8" w:space="0" w:color="000000"/>
            </w:tcBorders>
            <w:tcMar>
              <w:bottom w:w="28" w:type="dxa"/>
              <w:right w:w="108" w:type="dxa"/>
            </w:tcMar>
            <w:vAlign w:val="center"/>
          </w:tcPr>
          <w:p>
            <w:pPr>
              <w:pStyle w:val="TableContents"/>
              <w:bidi w:val="0"/>
              <w:spacing w:before="0" w:after="283"/>
              <w:jc w:val="center"/>
              <w:rPr>
                <w:sz w:val="20"/>
              </w:rPr>
            </w:pPr>
            <w:r>
              <w:rPr>
                <w:sz w:val="20"/>
              </w:rPr>
              <w:t>+190 Bps</w:t>
            </w:r>
          </w:p>
        </w:tc>
        <w:tc>
          <w:tcPr>
            <w:tcW w:w="875" w:type="dxa"/>
            <w:tcBorders>
              <w:bottom w:val="single" w:sz="8" w:space="0" w:color="000000"/>
              <w:right w:val="single" w:sz="8" w:space="0" w:color="000000"/>
            </w:tcBorders>
            <w:tcMar>
              <w:bottom w:w="28" w:type="dxa"/>
              <w:right w:w="108" w:type="dxa"/>
            </w:tcMar>
            <w:vAlign w:val="center"/>
          </w:tcPr>
          <w:p>
            <w:pPr>
              <w:pStyle w:val="TableContents"/>
              <w:bidi w:val="0"/>
              <w:spacing w:before="0" w:after="283"/>
              <w:jc w:val="center"/>
              <w:rPr>
                <w:sz w:val="20"/>
              </w:rPr>
            </w:pPr>
            <w:r>
              <w:rPr>
                <w:sz w:val="20"/>
              </w:rPr>
              <w:t xml:space="preserve">$50.00 </w:t>
            </w:r>
          </w:p>
        </w:tc>
        <w:tc>
          <w:tcPr>
            <w:tcW w:w="1070" w:type="dxa"/>
            <w:tcBorders>
              <w:bottom w:val="single" w:sz="8" w:space="0" w:color="000000"/>
              <w:right w:val="single" w:sz="8" w:space="0" w:color="000000"/>
            </w:tcBorders>
            <w:tcMar>
              <w:bottom w:w="28" w:type="dxa"/>
              <w:right w:w="108" w:type="dxa"/>
            </w:tcMar>
            <w:vAlign w:val="center"/>
          </w:tcPr>
          <w:p>
            <w:pPr>
              <w:pStyle w:val="TableContents"/>
              <w:bidi w:val="0"/>
              <w:spacing w:before="0" w:after="283"/>
              <w:jc w:val="center"/>
              <w:rPr>
                <w:sz w:val="20"/>
              </w:rPr>
            </w:pPr>
            <w:r>
              <w:rPr>
                <w:sz w:val="20"/>
              </w:rPr>
              <w:t>$305.00</w:t>
            </w:r>
          </w:p>
        </w:tc>
      </w:tr>
      <w:tr>
        <w:trPr/>
        <w:tc>
          <w:tcPr>
            <w:tcW w:w="620" w:type="dxa"/>
            <w:vMerge w:val="restart"/>
            <w:tcBorders>
              <w:left w:val="single" w:sz="8" w:space="0" w:color="000000"/>
              <w:bottom w:val="single" w:sz="8" w:space="0" w:color="000000"/>
              <w:right w:val="single" w:sz="8" w:space="0" w:color="000000"/>
            </w:tcBorders>
            <w:tcMar>
              <w:left w:w="108" w:type="dxa"/>
              <w:bottom w:w="28" w:type="dxa"/>
              <w:right w:w="108" w:type="dxa"/>
            </w:tcMar>
            <w:vAlign w:val="center"/>
          </w:tcPr>
          <w:p>
            <w:pPr>
              <w:pStyle w:val="TableContents"/>
              <w:bidi w:val="0"/>
              <w:spacing w:before="0" w:after="283"/>
              <w:jc w:val="center"/>
              <w:rPr>
                <w:sz w:val="20"/>
              </w:rPr>
            </w:pPr>
            <w:r>
              <w:rPr>
                <w:sz w:val="20"/>
              </w:rPr>
              <w:t>CCO Issuers</w:t>
            </w:r>
          </w:p>
        </w:tc>
        <w:tc>
          <w:tcPr>
            <w:tcW w:w="905" w:type="dxa"/>
            <w:tcBorders>
              <w:bottom w:val="single" w:sz="8" w:space="0" w:color="000000"/>
              <w:right w:val="single" w:sz="8" w:space="0" w:color="000000"/>
            </w:tcBorders>
            <w:tcMar>
              <w:bottom w:w="28" w:type="dxa"/>
              <w:right w:w="108" w:type="dxa"/>
            </w:tcMar>
            <w:vAlign w:val="center"/>
          </w:tcPr>
          <w:p>
            <w:pPr>
              <w:pStyle w:val="TableContents"/>
              <w:bidi w:val="0"/>
              <w:spacing w:before="0" w:after="283"/>
              <w:jc w:val="center"/>
              <w:rPr>
                <w:sz w:val="20"/>
              </w:rPr>
            </w:pPr>
            <w:r>
              <w:rPr>
                <w:sz w:val="20"/>
              </w:rPr>
              <w:t xml:space="preserve">5.375% senior secured notes due 2047 </w:t>
            </w:r>
          </w:p>
        </w:tc>
        <w:tc>
          <w:tcPr>
            <w:tcW w:w="1310" w:type="dxa"/>
            <w:tcBorders>
              <w:bottom w:val="single" w:sz="8" w:space="0" w:color="000000"/>
              <w:right w:val="single" w:sz="8" w:space="0" w:color="000000"/>
            </w:tcBorders>
            <w:tcMar>
              <w:bottom w:w="28" w:type="dxa"/>
              <w:right w:w="108" w:type="dxa"/>
            </w:tcMar>
            <w:vAlign w:val="center"/>
          </w:tcPr>
          <w:p>
            <w:pPr>
              <w:pStyle w:val="TableContents"/>
              <w:bidi w:val="0"/>
              <w:spacing w:before="0" w:after="283"/>
              <w:jc w:val="center"/>
              <w:rPr>
                <w:sz w:val="20"/>
              </w:rPr>
            </w:pPr>
            <w:r>
              <w:rPr>
                <w:sz w:val="20"/>
              </w:rPr>
              <w:t>$2,265,000,000</w:t>
            </w:r>
          </w:p>
        </w:tc>
        <w:tc>
          <w:tcPr>
            <w:tcW w:w="1520" w:type="dxa"/>
            <w:tcBorders>
              <w:bottom w:val="single" w:sz="8" w:space="0" w:color="000000"/>
              <w:right w:val="single" w:sz="8" w:space="0" w:color="000000"/>
            </w:tcBorders>
            <w:tcMar>
              <w:bottom w:w="28" w:type="dxa"/>
              <w:right w:w="108"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161175BL7 / US161175BL78</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161175BD5 /</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US161175BD52</w:t>
            </w:r>
          </w:p>
        </w:tc>
        <w:tc>
          <w:tcPr>
            <w:tcW w:w="980" w:type="dxa"/>
            <w:tcBorders>
              <w:bottom w:val="single" w:sz="8" w:space="0" w:color="000000"/>
              <w:right w:val="single" w:sz="8" w:space="0" w:color="000000"/>
            </w:tcBorders>
            <w:tcMar>
              <w:bottom w:w="28" w:type="dxa"/>
              <w:right w:w="108" w:type="dxa"/>
            </w:tcMar>
            <w:vAlign w:val="center"/>
          </w:tcPr>
          <w:p>
            <w:pPr>
              <w:pStyle w:val="TableContents"/>
              <w:bidi w:val="0"/>
              <w:spacing w:before="0" w:after="283"/>
              <w:jc w:val="center"/>
              <w:rPr>
                <w:sz w:val="20"/>
              </w:rPr>
            </w:pPr>
            <w:r>
              <w:rPr>
                <w:sz w:val="20"/>
              </w:rPr>
              <w:t>4</w:t>
            </w:r>
          </w:p>
        </w:tc>
        <w:tc>
          <w:tcPr>
            <w:tcW w:w="1160" w:type="dxa"/>
            <w:tcBorders>
              <w:bottom w:val="single" w:sz="8" w:space="0" w:color="000000"/>
              <w:right w:val="single" w:sz="8" w:space="0" w:color="000000"/>
            </w:tcBorders>
            <w:tcMar>
              <w:bottom w:w="28" w:type="dxa"/>
              <w:right w:w="108" w:type="dxa"/>
            </w:tcMar>
            <w:vAlign w:val="center"/>
          </w:tcPr>
          <w:p>
            <w:pPr>
              <w:pStyle w:val="TableContents"/>
              <w:bidi w:val="0"/>
              <w:spacing w:before="0" w:after="283"/>
              <w:jc w:val="center"/>
              <w:rPr>
                <w:sz w:val="20"/>
              </w:rPr>
            </w:pPr>
            <w:r>
              <w:rPr>
                <w:sz w:val="20"/>
              </w:rPr>
              <w:t>N/A</w:t>
            </w:r>
          </w:p>
        </w:tc>
        <w:tc>
          <w:tcPr>
            <w:tcW w:w="860" w:type="dxa"/>
            <w:tcBorders>
              <w:bottom w:val="single" w:sz="8" w:space="0" w:color="000000"/>
              <w:right w:val="single" w:sz="8" w:space="0" w:color="000000"/>
            </w:tcBorders>
            <w:tcMar>
              <w:bottom w:w="28" w:type="dxa"/>
              <w:right w:w="108" w:type="dxa"/>
            </w:tcMar>
            <w:vAlign w:val="center"/>
          </w:tcPr>
          <w:p>
            <w:pPr>
              <w:pStyle w:val="TableContents"/>
              <w:bidi w:val="0"/>
              <w:spacing w:before="0" w:after="283"/>
              <w:jc w:val="center"/>
              <w:rPr>
                <w:sz w:val="20"/>
              </w:rPr>
            </w:pPr>
            <w:r>
              <w:rPr>
                <w:sz w:val="20"/>
              </w:rPr>
              <w:t>5.000% due May 15, 2046</w:t>
            </w:r>
          </w:p>
        </w:tc>
        <w:tc>
          <w:tcPr>
            <w:tcW w:w="980" w:type="dxa"/>
            <w:tcBorders>
              <w:bottom w:val="single" w:sz="8" w:space="0" w:color="000000"/>
              <w:right w:val="single" w:sz="8" w:space="0" w:color="000000"/>
            </w:tcBorders>
            <w:tcMar>
              <w:bottom w:w="28" w:type="dxa"/>
              <w:right w:w="108" w:type="dxa"/>
            </w:tcMar>
            <w:vAlign w:val="center"/>
          </w:tcPr>
          <w:p>
            <w:pPr>
              <w:pStyle w:val="TableContents"/>
              <w:bidi w:val="0"/>
              <w:spacing w:before="0" w:after="283"/>
              <w:jc w:val="center"/>
              <w:rPr>
                <w:sz w:val="20"/>
              </w:rPr>
            </w:pPr>
            <w:r>
              <w:rPr>
                <w:sz w:val="20"/>
              </w:rPr>
              <w:t>FIT 1</w:t>
            </w:r>
          </w:p>
        </w:tc>
        <w:tc>
          <w:tcPr>
            <w:tcW w:w="620" w:type="dxa"/>
            <w:tcBorders>
              <w:bottom w:val="single" w:sz="8" w:space="0" w:color="000000"/>
              <w:right w:val="single" w:sz="8" w:space="0" w:color="000000"/>
            </w:tcBorders>
            <w:tcMar>
              <w:bottom w:w="28" w:type="dxa"/>
              <w:right w:w="108" w:type="dxa"/>
            </w:tcMar>
            <w:vAlign w:val="center"/>
          </w:tcPr>
          <w:p>
            <w:pPr>
              <w:pStyle w:val="TableContents"/>
              <w:bidi w:val="0"/>
              <w:spacing w:before="0" w:after="283"/>
              <w:jc w:val="center"/>
              <w:rPr>
                <w:sz w:val="20"/>
              </w:rPr>
            </w:pPr>
            <w:r>
              <w:rPr>
                <w:sz w:val="20"/>
              </w:rPr>
              <w:t>+215 Bps</w:t>
            </w:r>
          </w:p>
        </w:tc>
        <w:tc>
          <w:tcPr>
            <w:tcW w:w="875" w:type="dxa"/>
            <w:tcBorders>
              <w:bottom w:val="single" w:sz="8" w:space="0" w:color="000000"/>
              <w:right w:val="single" w:sz="8" w:space="0" w:color="000000"/>
            </w:tcBorders>
            <w:tcMar>
              <w:bottom w:w="28" w:type="dxa"/>
              <w:right w:w="108" w:type="dxa"/>
            </w:tcMar>
            <w:vAlign w:val="center"/>
          </w:tcPr>
          <w:p>
            <w:pPr>
              <w:pStyle w:val="TableContents"/>
              <w:bidi w:val="0"/>
              <w:spacing w:before="0" w:after="283"/>
              <w:jc w:val="center"/>
              <w:rPr>
                <w:sz w:val="20"/>
              </w:rPr>
            </w:pPr>
            <w:r>
              <w:rPr>
                <w:sz w:val="20"/>
              </w:rPr>
              <w:t xml:space="preserve">$50.00 </w:t>
            </w:r>
          </w:p>
        </w:tc>
        <w:tc>
          <w:tcPr>
            <w:tcW w:w="1070" w:type="dxa"/>
            <w:tcBorders>
              <w:bottom w:val="single" w:sz="8" w:space="0" w:color="000000"/>
              <w:right w:val="single" w:sz="8" w:space="0" w:color="000000"/>
            </w:tcBorders>
            <w:tcMar>
              <w:bottom w:w="28" w:type="dxa"/>
              <w:right w:w="108" w:type="dxa"/>
            </w:tcMar>
            <w:vAlign w:val="center"/>
          </w:tcPr>
          <w:p>
            <w:pPr>
              <w:pStyle w:val="TableContents"/>
              <w:bidi w:val="0"/>
              <w:spacing w:before="0" w:after="283"/>
              <w:jc w:val="center"/>
              <w:rPr>
                <w:sz w:val="20"/>
              </w:rPr>
            </w:pPr>
            <w:r>
              <w:rPr>
                <w:sz w:val="20"/>
              </w:rPr>
              <w:t>$120.00</w:t>
            </w:r>
          </w:p>
        </w:tc>
      </w:tr>
      <w:tr>
        <w:trPr/>
        <w:tc>
          <w:tcPr>
            <w:tcW w:w="620" w:type="dxa"/>
            <w:vMerge w:val="continue"/>
            <w:tcBorders>
              <w:left w:val="single" w:sz="8" w:space="0" w:color="000000"/>
              <w:bottom w:val="single" w:sz="8" w:space="0" w:color="000000"/>
              <w:right w:val="single" w:sz="8" w:space="0" w:color="000000"/>
            </w:tcBorders>
            <w:tcMar>
              <w:left w:w="108" w:type="dxa"/>
              <w:bottom w:w="28" w:type="dxa"/>
              <w:right w:w="108" w:type="dxa"/>
            </w:tcMar>
            <w:vAlign w:val="center"/>
          </w:tcPr>
          <w:p>
            <w:pPr>
              <w:pStyle w:val="Normal"/>
              <w:bidi w:val="0"/>
              <w:jc w:val="left"/>
              <w:rPr/>
            </w:pPr>
            <w:r>
              <w:rPr/>
            </w:r>
          </w:p>
        </w:tc>
        <w:tc>
          <w:tcPr>
            <w:tcW w:w="905" w:type="dxa"/>
            <w:tcBorders>
              <w:bottom w:val="single" w:sz="8" w:space="0" w:color="000000"/>
              <w:right w:val="single" w:sz="8" w:space="0" w:color="000000"/>
            </w:tcBorders>
            <w:tcMar>
              <w:bottom w:w="28" w:type="dxa"/>
              <w:right w:w="108" w:type="dxa"/>
            </w:tcMar>
            <w:vAlign w:val="center"/>
          </w:tcPr>
          <w:p>
            <w:pPr>
              <w:pStyle w:val="TableContents"/>
              <w:bidi w:val="0"/>
              <w:spacing w:before="0" w:after="283"/>
              <w:jc w:val="center"/>
              <w:rPr>
                <w:sz w:val="20"/>
              </w:rPr>
            </w:pPr>
            <w:r>
              <w:rPr>
                <w:sz w:val="20"/>
              </w:rPr>
              <w:t>2.300% senior secured notes due 2032</w:t>
            </w:r>
          </w:p>
        </w:tc>
        <w:tc>
          <w:tcPr>
            <w:tcW w:w="1310" w:type="dxa"/>
            <w:tcBorders>
              <w:bottom w:val="single" w:sz="8" w:space="0" w:color="000000"/>
              <w:right w:val="single" w:sz="8" w:space="0" w:color="000000"/>
            </w:tcBorders>
            <w:tcMar>
              <w:bottom w:w="28" w:type="dxa"/>
              <w:right w:w="108" w:type="dxa"/>
            </w:tcMar>
            <w:vAlign w:val="center"/>
          </w:tcPr>
          <w:p>
            <w:pPr>
              <w:pStyle w:val="TableContents"/>
              <w:bidi w:val="0"/>
              <w:spacing w:before="0" w:after="283"/>
              <w:jc w:val="center"/>
              <w:rPr>
                <w:sz w:val="20"/>
              </w:rPr>
            </w:pPr>
            <w:r>
              <w:rPr>
                <w:sz w:val="20"/>
              </w:rPr>
              <w:t>$1,000,000,000</w:t>
            </w:r>
          </w:p>
        </w:tc>
        <w:tc>
          <w:tcPr>
            <w:tcW w:w="1520" w:type="dxa"/>
            <w:tcBorders>
              <w:bottom w:val="single" w:sz="8" w:space="0" w:color="000000"/>
              <w:right w:val="single" w:sz="8" w:space="0" w:color="000000"/>
            </w:tcBorders>
            <w:tcMar>
              <w:bottom w:w="28" w:type="dxa"/>
              <w:right w:w="108" w:type="dxa"/>
            </w:tcMar>
            <w:vAlign w:val="center"/>
          </w:tcPr>
          <w:p>
            <w:pPr>
              <w:pStyle w:val="TableContents"/>
              <w:bidi w:val="0"/>
              <w:spacing w:before="0" w:after="283"/>
              <w:jc w:val="center"/>
              <w:rPr>
                <w:sz w:val="20"/>
              </w:rPr>
            </w:pPr>
            <w:r>
              <w:rPr>
                <w:sz w:val="20"/>
              </w:rPr>
              <w:t>161175BX1 / US161175BX17</w:t>
            </w:r>
          </w:p>
        </w:tc>
        <w:tc>
          <w:tcPr>
            <w:tcW w:w="980" w:type="dxa"/>
            <w:tcBorders>
              <w:bottom w:val="single" w:sz="8" w:space="0" w:color="000000"/>
              <w:right w:val="single" w:sz="8" w:space="0" w:color="000000"/>
            </w:tcBorders>
            <w:tcMar>
              <w:bottom w:w="28" w:type="dxa"/>
              <w:right w:w="108" w:type="dxa"/>
            </w:tcMar>
            <w:vAlign w:val="center"/>
          </w:tcPr>
          <w:p>
            <w:pPr>
              <w:pStyle w:val="TableContents"/>
              <w:bidi w:val="0"/>
              <w:spacing w:before="0" w:after="283"/>
              <w:jc w:val="center"/>
              <w:rPr>
                <w:sz w:val="20"/>
              </w:rPr>
            </w:pPr>
            <w:r>
              <w:rPr>
                <w:sz w:val="20"/>
              </w:rPr>
              <w:t>5</w:t>
            </w:r>
          </w:p>
        </w:tc>
        <w:tc>
          <w:tcPr>
            <w:tcW w:w="1160" w:type="dxa"/>
            <w:tcBorders>
              <w:bottom w:val="single" w:sz="8" w:space="0" w:color="000000"/>
              <w:right w:val="single" w:sz="8" w:space="0" w:color="000000"/>
            </w:tcBorders>
            <w:tcMar>
              <w:bottom w:w="28" w:type="dxa"/>
              <w:right w:w="108" w:type="dxa"/>
            </w:tcMar>
            <w:vAlign w:val="center"/>
          </w:tcPr>
          <w:p>
            <w:pPr>
              <w:pStyle w:val="TableContents"/>
              <w:bidi w:val="0"/>
              <w:spacing w:before="0" w:after="283"/>
              <w:jc w:val="center"/>
              <w:rPr>
                <w:sz w:val="20"/>
              </w:rPr>
            </w:pPr>
            <w:r>
              <w:rPr>
                <w:sz w:val="20"/>
              </w:rPr>
              <w:t>N/A</w:t>
            </w:r>
          </w:p>
        </w:tc>
        <w:tc>
          <w:tcPr>
            <w:tcW w:w="860" w:type="dxa"/>
            <w:tcBorders>
              <w:bottom w:val="single" w:sz="8" w:space="0" w:color="000000"/>
              <w:right w:val="single" w:sz="8" w:space="0" w:color="000000"/>
            </w:tcBorders>
            <w:tcMar>
              <w:bottom w:w="28" w:type="dxa"/>
              <w:right w:w="108" w:type="dxa"/>
            </w:tcMar>
            <w:vAlign w:val="center"/>
          </w:tcPr>
          <w:p>
            <w:pPr>
              <w:pStyle w:val="TableContents"/>
              <w:bidi w:val="0"/>
              <w:spacing w:before="0" w:after="283"/>
              <w:jc w:val="center"/>
              <w:rPr>
                <w:sz w:val="20"/>
              </w:rPr>
            </w:pPr>
            <w:r>
              <w:rPr>
                <w:sz w:val="20"/>
              </w:rPr>
              <w:t>4.125% due June 30, 2031</w:t>
            </w:r>
          </w:p>
        </w:tc>
        <w:tc>
          <w:tcPr>
            <w:tcW w:w="980" w:type="dxa"/>
            <w:tcBorders>
              <w:bottom w:val="single" w:sz="8" w:space="0" w:color="000000"/>
              <w:right w:val="single" w:sz="8" w:space="0" w:color="000000"/>
            </w:tcBorders>
            <w:tcMar>
              <w:bottom w:w="28" w:type="dxa"/>
              <w:right w:w="108" w:type="dxa"/>
            </w:tcMar>
            <w:vAlign w:val="center"/>
          </w:tcPr>
          <w:p>
            <w:pPr>
              <w:pStyle w:val="TableContents"/>
              <w:bidi w:val="0"/>
              <w:spacing w:before="0" w:after="283"/>
              <w:jc w:val="center"/>
              <w:rPr>
                <w:sz w:val="20"/>
              </w:rPr>
            </w:pPr>
            <w:r>
              <w:rPr>
                <w:sz w:val="20"/>
              </w:rPr>
              <w:t>FIT 1</w:t>
            </w:r>
          </w:p>
        </w:tc>
        <w:tc>
          <w:tcPr>
            <w:tcW w:w="620" w:type="dxa"/>
            <w:tcBorders>
              <w:bottom w:val="single" w:sz="8" w:space="0" w:color="000000"/>
              <w:right w:val="single" w:sz="8" w:space="0" w:color="000000"/>
            </w:tcBorders>
            <w:tcMar>
              <w:bottom w:w="28" w:type="dxa"/>
              <w:right w:w="108" w:type="dxa"/>
            </w:tcMar>
            <w:vAlign w:val="center"/>
          </w:tcPr>
          <w:p>
            <w:pPr>
              <w:pStyle w:val="TableContents"/>
              <w:bidi w:val="0"/>
              <w:spacing w:before="0" w:after="283"/>
              <w:jc w:val="center"/>
              <w:rPr>
                <w:sz w:val="20"/>
              </w:rPr>
            </w:pPr>
            <w:r>
              <w:rPr>
                <w:sz w:val="20"/>
              </w:rPr>
              <w:t>+110 Bps</w:t>
            </w:r>
          </w:p>
        </w:tc>
        <w:tc>
          <w:tcPr>
            <w:tcW w:w="875" w:type="dxa"/>
            <w:tcBorders>
              <w:bottom w:val="single" w:sz="8" w:space="0" w:color="000000"/>
              <w:right w:val="single" w:sz="8" w:space="0" w:color="000000"/>
            </w:tcBorders>
            <w:tcMar>
              <w:bottom w:w="28" w:type="dxa"/>
              <w:right w:w="108" w:type="dxa"/>
            </w:tcMar>
            <w:vAlign w:val="center"/>
          </w:tcPr>
          <w:p>
            <w:pPr>
              <w:pStyle w:val="TableContents"/>
              <w:bidi w:val="0"/>
              <w:spacing w:before="0" w:after="283"/>
              <w:jc w:val="center"/>
              <w:rPr>
                <w:sz w:val="20"/>
              </w:rPr>
            </w:pPr>
            <w:r>
              <w:rPr>
                <w:sz w:val="20"/>
              </w:rPr>
              <w:t xml:space="preserve">$50.00 </w:t>
            </w:r>
          </w:p>
        </w:tc>
        <w:tc>
          <w:tcPr>
            <w:tcW w:w="1070" w:type="dxa"/>
            <w:tcBorders>
              <w:bottom w:val="single" w:sz="8" w:space="0" w:color="000000"/>
              <w:right w:val="single" w:sz="8" w:space="0" w:color="000000"/>
            </w:tcBorders>
            <w:tcMar>
              <w:bottom w:w="28" w:type="dxa"/>
              <w:right w:w="108" w:type="dxa"/>
            </w:tcMar>
            <w:vAlign w:val="center"/>
          </w:tcPr>
          <w:p>
            <w:pPr>
              <w:pStyle w:val="TableContents"/>
              <w:bidi w:val="0"/>
              <w:spacing w:before="0" w:after="283"/>
              <w:jc w:val="center"/>
              <w:rPr>
                <w:sz w:val="20"/>
              </w:rPr>
            </w:pPr>
            <w:r>
              <w:rPr>
                <w:sz w:val="20"/>
              </w:rPr>
              <w:t>$0.00</w:t>
            </w:r>
          </w:p>
        </w:tc>
      </w:tr>
      <w:tr>
        <w:trPr/>
        <w:tc>
          <w:tcPr>
            <w:tcW w:w="620" w:type="dxa"/>
            <w:vMerge w:val="continue"/>
            <w:tcBorders>
              <w:left w:val="single" w:sz="8" w:space="0" w:color="000000"/>
              <w:bottom w:val="single" w:sz="8" w:space="0" w:color="000000"/>
              <w:right w:val="single" w:sz="8" w:space="0" w:color="000000"/>
            </w:tcBorders>
            <w:tcMar>
              <w:left w:w="108" w:type="dxa"/>
              <w:bottom w:w="28" w:type="dxa"/>
              <w:right w:w="108" w:type="dxa"/>
            </w:tcMar>
            <w:vAlign w:val="center"/>
          </w:tcPr>
          <w:p>
            <w:pPr>
              <w:pStyle w:val="Normal"/>
              <w:bidi w:val="0"/>
              <w:jc w:val="left"/>
              <w:rPr/>
            </w:pPr>
            <w:r>
              <w:rPr/>
            </w:r>
          </w:p>
        </w:tc>
        <w:tc>
          <w:tcPr>
            <w:tcW w:w="905" w:type="dxa"/>
            <w:tcBorders>
              <w:bottom w:val="single" w:sz="8" w:space="0" w:color="000000"/>
              <w:right w:val="single" w:sz="8" w:space="0" w:color="000000"/>
            </w:tcBorders>
            <w:tcMar>
              <w:bottom w:w="28" w:type="dxa"/>
              <w:right w:w="108" w:type="dxa"/>
            </w:tcMar>
            <w:vAlign w:val="center"/>
          </w:tcPr>
          <w:p>
            <w:pPr>
              <w:pStyle w:val="TableContents"/>
              <w:bidi w:val="0"/>
              <w:spacing w:before="0" w:after="283"/>
              <w:jc w:val="center"/>
              <w:rPr>
                <w:sz w:val="20"/>
              </w:rPr>
            </w:pPr>
            <w:r>
              <w:rPr>
                <w:sz w:val="20"/>
              </w:rPr>
              <w:t xml:space="preserve">2.800% senior secured notes due 2031 </w:t>
            </w:r>
          </w:p>
        </w:tc>
        <w:tc>
          <w:tcPr>
            <w:tcW w:w="1310" w:type="dxa"/>
            <w:tcBorders>
              <w:bottom w:val="single" w:sz="8" w:space="0" w:color="000000"/>
              <w:right w:val="single" w:sz="8" w:space="0" w:color="000000"/>
            </w:tcBorders>
            <w:tcMar>
              <w:bottom w:w="28" w:type="dxa"/>
              <w:right w:w="108" w:type="dxa"/>
            </w:tcMar>
            <w:vAlign w:val="center"/>
          </w:tcPr>
          <w:p>
            <w:pPr>
              <w:pStyle w:val="TableContents"/>
              <w:bidi w:val="0"/>
              <w:spacing w:before="0" w:after="283"/>
              <w:jc w:val="center"/>
              <w:rPr>
                <w:sz w:val="20"/>
              </w:rPr>
            </w:pPr>
            <w:r>
              <w:rPr>
                <w:sz w:val="20"/>
              </w:rPr>
              <w:t>$1,590,000,000</w:t>
            </w:r>
          </w:p>
        </w:tc>
        <w:tc>
          <w:tcPr>
            <w:tcW w:w="1520" w:type="dxa"/>
            <w:tcBorders>
              <w:bottom w:val="single" w:sz="8" w:space="0" w:color="000000"/>
              <w:right w:val="single" w:sz="8" w:space="0" w:color="000000"/>
            </w:tcBorders>
            <w:tcMar>
              <w:bottom w:w="28" w:type="dxa"/>
              <w:right w:w="108" w:type="dxa"/>
            </w:tcMar>
            <w:vAlign w:val="center"/>
          </w:tcPr>
          <w:p>
            <w:pPr>
              <w:pStyle w:val="TableContents"/>
              <w:bidi w:val="0"/>
              <w:spacing w:before="0" w:after="283"/>
              <w:jc w:val="center"/>
              <w:rPr/>
            </w:pPr>
            <w:r>
              <w:rPr/>
              <w:t> </w:t>
            </w:r>
            <w:r>
              <w:rPr>
                <w:sz w:val="20"/>
              </w:rPr>
              <w:t>161175BU7 /  US161175BU77</w:t>
            </w:r>
          </w:p>
        </w:tc>
        <w:tc>
          <w:tcPr>
            <w:tcW w:w="980" w:type="dxa"/>
            <w:tcBorders>
              <w:bottom w:val="single" w:sz="8" w:space="0" w:color="000000"/>
              <w:right w:val="single" w:sz="8" w:space="0" w:color="000000"/>
            </w:tcBorders>
            <w:tcMar>
              <w:bottom w:w="28" w:type="dxa"/>
              <w:right w:w="108" w:type="dxa"/>
            </w:tcMar>
            <w:vAlign w:val="center"/>
          </w:tcPr>
          <w:p>
            <w:pPr>
              <w:pStyle w:val="TableContents"/>
              <w:bidi w:val="0"/>
              <w:spacing w:before="0" w:after="283"/>
              <w:jc w:val="center"/>
              <w:rPr>
                <w:sz w:val="20"/>
              </w:rPr>
            </w:pPr>
            <w:r>
              <w:rPr>
                <w:sz w:val="20"/>
              </w:rPr>
              <w:t>6</w:t>
            </w:r>
          </w:p>
        </w:tc>
        <w:tc>
          <w:tcPr>
            <w:tcW w:w="1160" w:type="dxa"/>
            <w:tcBorders>
              <w:bottom w:val="single" w:sz="8" w:space="0" w:color="000000"/>
              <w:right w:val="single" w:sz="8" w:space="0" w:color="000000"/>
            </w:tcBorders>
            <w:tcMar>
              <w:bottom w:w="28" w:type="dxa"/>
              <w:right w:w="108" w:type="dxa"/>
            </w:tcMar>
            <w:vAlign w:val="center"/>
          </w:tcPr>
          <w:p>
            <w:pPr>
              <w:pStyle w:val="TableContents"/>
              <w:bidi w:val="0"/>
              <w:spacing w:before="0" w:after="283"/>
              <w:jc w:val="center"/>
              <w:rPr>
                <w:sz w:val="20"/>
              </w:rPr>
            </w:pPr>
            <w:r>
              <w:rPr>
                <w:sz w:val="20"/>
              </w:rPr>
              <w:t>N/A</w:t>
            </w:r>
          </w:p>
        </w:tc>
        <w:tc>
          <w:tcPr>
            <w:tcW w:w="860" w:type="dxa"/>
            <w:tcBorders>
              <w:bottom w:val="single" w:sz="8" w:space="0" w:color="000000"/>
              <w:right w:val="single" w:sz="8" w:space="0" w:color="000000"/>
            </w:tcBorders>
            <w:tcMar>
              <w:bottom w:w="28" w:type="dxa"/>
              <w:right w:w="108" w:type="dxa"/>
            </w:tcMar>
            <w:vAlign w:val="center"/>
          </w:tcPr>
          <w:p>
            <w:pPr>
              <w:pStyle w:val="TableContents"/>
              <w:bidi w:val="0"/>
              <w:spacing w:before="0" w:after="283"/>
              <w:jc w:val="center"/>
              <w:rPr>
                <w:sz w:val="20"/>
              </w:rPr>
            </w:pPr>
            <w:r>
              <w:rPr>
                <w:sz w:val="20"/>
              </w:rPr>
              <w:t>4.125% due June 30, 2031</w:t>
            </w:r>
          </w:p>
        </w:tc>
        <w:tc>
          <w:tcPr>
            <w:tcW w:w="980" w:type="dxa"/>
            <w:tcBorders>
              <w:bottom w:val="single" w:sz="8" w:space="0" w:color="000000"/>
              <w:right w:val="single" w:sz="8" w:space="0" w:color="000000"/>
            </w:tcBorders>
            <w:tcMar>
              <w:bottom w:w="28" w:type="dxa"/>
              <w:right w:w="108" w:type="dxa"/>
            </w:tcMar>
            <w:vAlign w:val="center"/>
          </w:tcPr>
          <w:p>
            <w:pPr>
              <w:pStyle w:val="TableContents"/>
              <w:bidi w:val="0"/>
              <w:spacing w:before="0" w:after="283"/>
              <w:jc w:val="center"/>
              <w:rPr>
                <w:sz w:val="20"/>
              </w:rPr>
            </w:pPr>
            <w:r>
              <w:rPr>
                <w:sz w:val="20"/>
              </w:rPr>
              <w:t>FIT 1</w:t>
            </w:r>
          </w:p>
        </w:tc>
        <w:tc>
          <w:tcPr>
            <w:tcW w:w="620" w:type="dxa"/>
            <w:tcBorders>
              <w:bottom w:val="single" w:sz="8" w:space="0" w:color="000000"/>
              <w:right w:val="single" w:sz="8" w:space="0" w:color="000000"/>
            </w:tcBorders>
            <w:tcMar>
              <w:bottom w:w="28" w:type="dxa"/>
              <w:right w:w="108" w:type="dxa"/>
            </w:tcMar>
            <w:vAlign w:val="center"/>
          </w:tcPr>
          <w:p>
            <w:pPr>
              <w:pStyle w:val="TableContents"/>
              <w:bidi w:val="0"/>
              <w:spacing w:before="0" w:after="283"/>
              <w:jc w:val="center"/>
              <w:rPr>
                <w:sz w:val="20"/>
              </w:rPr>
            </w:pPr>
            <w:r>
              <w:rPr>
                <w:sz w:val="20"/>
              </w:rPr>
              <w:t>+110 Bps</w:t>
            </w:r>
          </w:p>
        </w:tc>
        <w:tc>
          <w:tcPr>
            <w:tcW w:w="875" w:type="dxa"/>
            <w:tcBorders>
              <w:bottom w:val="single" w:sz="8" w:space="0" w:color="000000"/>
              <w:right w:val="single" w:sz="8" w:space="0" w:color="000000"/>
            </w:tcBorders>
            <w:tcMar>
              <w:bottom w:w="28" w:type="dxa"/>
              <w:right w:w="108" w:type="dxa"/>
            </w:tcMar>
            <w:vAlign w:val="center"/>
          </w:tcPr>
          <w:p>
            <w:pPr>
              <w:pStyle w:val="TableContents"/>
              <w:bidi w:val="0"/>
              <w:spacing w:before="0" w:after="283"/>
              <w:jc w:val="center"/>
              <w:rPr>
                <w:sz w:val="20"/>
              </w:rPr>
            </w:pPr>
            <w:r>
              <w:rPr>
                <w:sz w:val="20"/>
              </w:rPr>
              <w:t xml:space="preserve">$50.00 </w:t>
            </w:r>
          </w:p>
        </w:tc>
        <w:tc>
          <w:tcPr>
            <w:tcW w:w="1070" w:type="dxa"/>
            <w:tcBorders>
              <w:bottom w:val="single" w:sz="8" w:space="0" w:color="000000"/>
              <w:right w:val="single" w:sz="8" w:space="0" w:color="000000"/>
            </w:tcBorders>
            <w:tcMar>
              <w:bottom w:w="28" w:type="dxa"/>
              <w:right w:w="108" w:type="dxa"/>
            </w:tcMar>
            <w:vAlign w:val="center"/>
          </w:tcPr>
          <w:p>
            <w:pPr>
              <w:pStyle w:val="TableContents"/>
              <w:bidi w:val="0"/>
              <w:spacing w:before="0" w:after="283"/>
              <w:jc w:val="center"/>
              <w:rPr>
                <w:sz w:val="20"/>
              </w:rPr>
            </w:pPr>
            <w:r>
              <w:rPr>
                <w:sz w:val="20"/>
              </w:rPr>
              <w:t>$0.00</w:t>
            </w:r>
          </w:p>
        </w:tc>
      </w:tr>
      <w:tr>
        <w:trPr/>
        <w:tc>
          <w:tcPr>
            <w:tcW w:w="620" w:type="dxa"/>
            <w:vMerge w:val="continue"/>
            <w:tcBorders>
              <w:left w:val="single" w:sz="8" w:space="0" w:color="000000"/>
              <w:bottom w:val="single" w:sz="8" w:space="0" w:color="000000"/>
              <w:right w:val="single" w:sz="8" w:space="0" w:color="000000"/>
            </w:tcBorders>
            <w:tcMar>
              <w:left w:w="108" w:type="dxa"/>
              <w:bottom w:w="28" w:type="dxa"/>
              <w:right w:w="108" w:type="dxa"/>
            </w:tcMar>
            <w:vAlign w:val="center"/>
          </w:tcPr>
          <w:p>
            <w:pPr>
              <w:pStyle w:val="Normal"/>
              <w:bidi w:val="0"/>
              <w:jc w:val="left"/>
              <w:rPr/>
            </w:pPr>
            <w:r>
              <w:rPr/>
            </w:r>
          </w:p>
        </w:tc>
        <w:tc>
          <w:tcPr>
            <w:tcW w:w="905" w:type="dxa"/>
            <w:tcBorders>
              <w:bottom w:val="single" w:sz="8" w:space="0" w:color="000000"/>
              <w:right w:val="single" w:sz="8" w:space="0" w:color="000000"/>
            </w:tcBorders>
            <w:tcMar>
              <w:bottom w:w="28" w:type="dxa"/>
              <w:right w:w="108" w:type="dxa"/>
            </w:tcMar>
            <w:vAlign w:val="center"/>
          </w:tcPr>
          <w:p>
            <w:pPr>
              <w:pStyle w:val="TableContents"/>
              <w:bidi w:val="0"/>
              <w:spacing w:before="0" w:after="283"/>
              <w:jc w:val="center"/>
              <w:rPr>
                <w:sz w:val="20"/>
              </w:rPr>
            </w:pPr>
            <w:r>
              <w:rPr>
                <w:sz w:val="20"/>
              </w:rPr>
              <w:t xml:space="preserve">2.250% senior secured notes due 2029 </w:t>
            </w:r>
          </w:p>
        </w:tc>
        <w:tc>
          <w:tcPr>
            <w:tcW w:w="1310" w:type="dxa"/>
            <w:tcBorders>
              <w:bottom w:val="single" w:sz="8" w:space="0" w:color="000000"/>
              <w:right w:val="single" w:sz="8" w:space="0" w:color="000000"/>
            </w:tcBorders>
            <w:tcMar>
              <w:bottom w:w="28" w:type="dxa"/>
              <w:right w:w="108" w:type="dxa"/>
            </w:tcMar>
            <w:vAlign w:val="center"/>
          </w:tcPr>
          <w:p>
            <w:pPr>
              <w:pStyle w:val="TableContents"/>
              <w:bidi w:val="0"/>
              <w:spacing w:before="0" w:after="283"/>
              <w:jc w:val="center"/>
              <w:rPr>
                <w:sz w:val="20"/>
              </w:rPr>
            </w:pPr>
            <w:r>
              <w:rPr>
                <w:sz w:val="20"/>
              </w:rPr>
              <w:t>$1,250,000,000</w:t>
            </w:r>
          </w:p>
        </w:tc>
        <w:tc>
          <w:tcPr>
            <w:tcW w:w="1520" w:type="dxa"/>
            <w:tcBorders>
              <w:bottom w:val="single" w:sz="8" w:space="0" w:color="000000"/>
              <w:right w:val="single" w:sz="8" w:space="0" w:color="000000"/>
            </w:tcBorders>
            <w:tcMar>
              <w:bottom w:w="28" w:type="dxa"/>
              <w:right w:w="108" w:type="dxa"/>
            </w:tcMar>
            <w:vAlign w:val="center"/>
          </w:tcPr>
          <w:p>
            <w:pPr>
              <w:pStyle w:val="TableContents"/>
              <w:bidi w:val="0"/>
              <w:spacing w:before="0" w:after="283"/>
              <w:jc w:val="center"/>
              <w:rPr>
                <w:sz w:val="20"/>
              </w:rPr>
            </w:pPr>
            <w:r>
              <w:rPr>
                <w:sz w:val="20"/>
              </w:rPr>
              <w:t>161175CD4 / US161175CD44</w:t>
            </w:r>
          </w:p>
        </w:tc>
        <w:tc>
          <w:tcPr>
            <w:tcW w:w="980" w:type="dxa"/>
            <w:tcBorders>
              <w:bottom w:val="single" w:sz="8" w:space="0" w:color="000000"/>
              <w:right w:val="single" w:sz="8" w:space="0" w:color="000000"/>
            </w:tcBorders>
            <w:tcMar>
              <w:bottom w:w="28" w:type="dxa"/>
              <w:right w:w="108" w:type="dxa"/>
            </w:tcMar>
            <w:vAlign w:val="center"/>
          </w:tcPr>
          <w:p>
            <w:pPr>
              <w:pStyle w:val="TableContents"/>
              <w:bidi w:val="0"/>
              <w:spacing w:before="0" w:after="283"/>
              <w:jc w:val="center"/>
              <w:rPr>
                <w:sz w:val="20"/>
              </w:rPr>
            </w:pPr>
            <w:r>
              <w:rPr>
                <w:sz w:val="20"/>
              </w:rPr>
              <w:t>7</w:t>
            </w:r>
          </w:p>
        </w:tc>
        <w:tc>
          <w:tcPr>
            <w:tcW w:w="1160" w:type="dxa"/>
            <w:tcBorders>
              <w:bottom w:val="single" w:sz="8" w:space="0" w:color="000000"/>
              <w:right w:val="single" w:sz="8" w:space="0" w:color="000000"/>
            </w:tcBorders>
            <w:tcMar>
              <w:bottom w:w="28" w:type="dxa"/>
              <w:right w:w="108" w:type="dxa"/>
            </w:tcMar>
            <w:vAlign w:val="center"/>
          </w:tcPr>
          <w:p>
            <w:pPr>
              <w:pStyle w:val="TableContents"/>
              <w:bidi w:val="0"/>
              <w:spacing w:before="0" w:after="283"/>
              <w:jc w:val="center"/>
              <w:rPr>
                <w:sz w:val="20"/>
              </w:rPr>
            </w:pPr>
            <w:r>
              <w:rPr>
                <w:sz w:val="20"/>
              </w:rPr>
              <w:t>N/A</w:t>
            </w:r>
          </w:p>
        </w:tc>
        <w:tc>
          <w:tcPr>
            <w:tcW w:w="860" w:type="dxa"/>
            <w:tcBorders>
              <w:bottom w:val="single" w:sz="8" w:space="0" w:color="000000"/>
              <w:right w:val="single" w:sz="8" w:space="0" w:color="000000"/>
            </w:tcBorders>
            <w:tcMar>
              <w:bottom w:w="28" w:type="dxa"/>
              <w:right w:w="108" w:type="dxa"/>
            </w:tcMar>
            <w:vAlign w:val="center"/>
          </w:tcPr>
          <w:p>
            <w:pPr>
              <w:pStyle w:val="TableContents"/>
              <w:bidi w:val="0"/>
              <w:spacing w:before="0" w:after="283"/>
              <w:jc w:val="center"/>
              <w:rPr>
                <w:sz w:val="20"/>
              </w:rPr>
            </w:pPr>
            <w:r>
              <w:rPr>
                <w:sz w:val="20"/>
              </w:rPr>
              <w:t>4.125% due July 15, 2029</w:t>
            </w:r>
          </w:p>
        </w:tc>
        <w:tc>
          <w:tcPr>
            <w:tcW w:w="980" w:type="dxa"/>
            <w:tcBorders>
              <w:bottom w:val="single" w:sz="8" w:space="0" w:color="000000"/>
              <w:right w:val="single" w:sz="8" w:space="0" w:color="000000"/>
            </w:tcBorders>
            <w:tcMar>
              <w:bottom w:w="28" w:type="dxa"/>
              <w:right w:w="108" w:type="dxa"/>
            </w:tcMar>
            <w:vAlign w:val="center"/>
          </w:tcPr>
          <w:p>
            <w:pPr>
              <w:pStyle w:val="TableContents"/>
              <w:bidi w:val="0"/>
              <w:spacing w:before="0" w:after="283"/>
              <w:jc w:val="center"/>
              <w:rPr>
                <w:sz w:val="20"/>
              </w:rPr>
            </w:pPr>
            <w:r>
              <w:rPr>
                <w:sz w:val="20"/>
              </w:rPr>
              <w:t>FIT 1</w:t>
            </w:r>
          </w:p>
        </w:tc>
        <w:tc>
          <w:tcPr>
            <w:tcW w:w="620" w:type="dxa"/>
            <w:tcBorders>
              <w:bottom w:val="single" w:sz="8" w:space="0" w:color="000000"/>
              <w:right w:val="single" w:sz="8" w:space="0" w:color="000000"/>
            </w:tcBorders>
            <w:tcMar>
              <w:bottom w:w="28" w:type="dxa"/>
              <w:right w:w="108" w:type="dxa"/>
            </w:tcMar>
            <w:vAlign w:val="center"/>
          </w:tcPr>
          <w:p>
            <w:pPr>
              <w:pStyle w:val="TableContents"/>
              <w:bidi w:val="0"/>
              <w:spacing w:before="0" w:after="283"/>
              <w:jc w:val="center"/>
              <w:rPr>
                <w:sz w:val="20"/>
              </w:rPr>
            </w:pPr>
            <w:r>
              <w:rPr>
                <w:sz w:val="20"/>
              </w:rPr>
              <w:t>+80 Bps</w:t>
            </w:r>
          </w:p>
        </w:tc>
        <w:tc>
          <w:tcPr>
            <w:tcW w:w="875" w:type="dxa"/>
            <w:tcBorders>
              <w:bottom w:val="single" w:sz="8" w:space="0" w:color="000000"/>
              <w:right w:val="single" w:sz="8" w:space="0" w:color="000000"/>
            </w:tcBorders>
            <w:tcMar>
              <w:bottom w:w="28" w:type="dxa"/>
              <w:right w:w="108" w:type="dxa"/>
            </w:tcMar>
            <w:vAlign w:val="center"/>
          </w:tcPr>
          <w:p>
            <w:pPr>
              <w:pStyle w:val="TableContents"/>
              <w:bidi w:val="0"/>
              <w:spacing w:before="0" w:after="283"/>
              <w:jc w:val="center"/>
              <w:rPr>
                <w:sz w:val="20"/>
              </w:rPr>
            </w:pPr>
            <w:r>
              <w:rPr>
                <w:sz w:val="20"/>
              </w:rPr>
              <w:t xml:space="preserve">$50.00 </w:t>
            </w:r>
          </w:p>
        </w:tc>
        <w:tc>
          <w:tcPr>
            <w:tcW w:w="1070" w:type="dxa"/>
            <w:tcBorders>
              <w:bottom w:val="single" w:sz="8" w:space="0" w:color="000000"/>
              <w:right w:val="single" w:sz="8" w:space="0" w:color="000000"/>
            </w:tcBorders>
            <w:tcMar>
              <w:bottom w:w="28" w:type="dxa"/>
              <w:right w:w="108" w:type="dxa"/>
            </w:tcMar>
            <w:vAlign w:val="center"/>
          </w:tcPr>
          <w:p>
            <w:pPr>
              <w:pStyle w:val="TableContents"/>
              <w:bidi w:val="0"/>
              <w:spacing w:before="0" w:after="283"/>
              <w:jc w:val="center"/>
              <w:rPr>
                <w:sz w:val="20"/>
              </w:rPr>
            </w:pPr>
            <w:r>
              <w:rPr>
                <w:sz w:val="20"/>
              </w:rPr>
              <w:t>$0.00</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60" w:after="60"/>
        <w:ind w:left="0" w:right="0" w:firstLine="72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7"/>
        <w:gridCol w:w="243"/>
        <w:gridCol w:w="9925"/>
      </w:tblGrid>
      <w:tr>
        <w:trPr/>
        <w:tc>
          <w:tcPr>
            <w:tcW w:w="37"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pPr>
            <w:r>
              <w:rPr/>
              <w:t>(1)</w:t>
            </w:r>
          </w:p>
        </w:tc>
        <w:tc>
          <w:tcPr>
            <w:tcW w:w="9925" w:type="dxa"/>
            <w:tcBorders/>
            <w:vAlign w:val="center"/>
          </w:tcPr>
          <w:p>
            <w:pPr>
              <w:pStyle w:val="TableContents"/>
              <w:bidi w:val="0"/>
              <w:spacing w:before="0" w:after="283"/>
              <w:jc w:val="both"/>
              <w:rPr/>
            </w:pPr>
            <w:r>
              <w:rPr/>
              <w:t>No representation is made as to the correctness or accuracy of the CUSIP or ISIN numbers listed in the Offering Memorandum (as defined below). Such CUSIP and ISIN numbers are provided solely for the convenience of the holders of Pool 1 Notes.</w:t>
            </w:r>
          </w:p>
        </w:tc>
      </w:tr>
    </w:tbl>
    <w:tbl>
      <w:tblPr>
        <w:tblW w:w="5000" w:type="pct"/>
        <w:jc w:val="left"/>
        <w:tblInd w:w="0" w:type="dxa"/>
        <w:tblLayout w:type="fixed"/>
        <w:tblCellMar>
          <w:top w:w="0" w:type="dxa"/>
          <w:left w:w="0" w:type="dxa"/>
          <w:bottom w:w="0" w:type="dxa"/>
          <w:right w:w="0" w:type="dxa"/>
        </w:tblCellMar>
      </w:tblPr>
      <w:tblGrid>
        <w:gridCol w:w="37"/>
        <w:gridCol w:w="231"/>
        <w:gridCol w:w="9937"/>
      </w:tblGrid>
      <w:tr>
        <w:trPr/>
        <w:tc>
          <w:tcPr>
            <w:tcW w:w="37"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pPr>
            <w:r>
              <w:rPr/>
              <w:t>(2)</w:t>
            </w:r>
          </w:p>
        </w:tc>
        <w:tc>
          <w:tcPr>
            <w:tcW w:w="9937" w:type="dxa"/>
            <w:tcBorders/>
            <w:vAlign w:val="center"/>
          </w:tcPr>
          <w:p>
            <w:pPr>
              <w:pStyle w:val="TableContents"/>
              <w:bidi w:val="0"/>
              <w:spacing w:before="0" w:after="283"/>
              <w:jc w:val="both"/>
              <w:rPr/>
            </w:pPr>
            <w:r>
              <w:rPr/>
              <w:t>Subject to the New 2038 Notes Cap and, solely with respect to the 4.500% Notes, the 4.500% Notes Sub-Cap set forth in this table and proration, the principal amount of each series of Pool 1 Notes that is purchased in the Pool 1 Offer will be determined in accordance with the applicable Acceptance Priority Level (in numerical priority order with 1 being the highest Acceptance Priority Level and 7 being the lowest) specified in this column.</w:t>
            </w:r>
          </w:p>
        </w:tc>
      </w:tr>
    </w:tbl>
    <w:tbl>
      <w:tblPr>
        <w:tblW w:w="5000" w:type="pct"/>
        <w:jc w:val="left"/>
        <w:tblInd w:w="0" w:type="dxa"/>
        <w:tblLayout w:type="fixed"/>
        <w:tblCellMar>
          <w:top w:w="0" w:type="dxa"/>
          <w:left w:w="0" w:type="dxa"/>
          <w:bottom w:w="0" w:type="dxa"/>
          <w:right w:w="0" w:type="dxa"/>
        </w:tblCellMar>
      </w:tblPr>
      <w:tblGrid>
        <w:gridCol w:w="37"/>
        <w:gridCol w:w="236"/>
        <w:gridCol w:w="9932"/>
      </w:tblGrid>
      <w:tr>
        <w:trPr/>
        <w:tc>
          <w:tcPr>
            <w:tcW w:w="37"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pPr>
            <w:r>
              <w:rPr/>
              <w:t>(3)</w:t>
            </w:r>
          </w:p>
        </w:tc>
        <w:tc>
          <w:tcPr>
            <w:tcW w:w="9932" w:type="dxa"/>
            <w:tcBorders/>
            <w:vAlign w:val="center"/>
          </w:tcPr>
          <w:p>
            <w:pPr>
              <w:pStyle w:val="TableContents"/>
              <w:bidi w:val="0"/>
              <w:spacing w:before="0" w:after="283"/>
              <w:jc w:val="both"/>
              <w:rPr/>
            </w:pPr>
            <w:r>
              <w:rPr/>
              <w:t>The Bloomberg Reference Page/Screen is provided for convenience only. To the extent any Bloomberg Reference Page/Screen changes prior to the Pricing Time (as defined below), the Joint-Lead Dealer Managers referred to below will quote the applicable Reference Treasury Security from the updated Bloomberg Reference Page/Screen.</w:t>
            </w:r>
          </w:p>
        </w:tc>
      </w:tr>
    </w:tbl>
    <w:tbl>
      <w:tblPr>
        <w:tblW w:w="5000" w:type="pct"/>
        <w:jc w:val="left"/>
        <w:tblInd w:w="0" w:type="dxa"/>
        <w:tblLayout w:type="fixed"/>
        <w:tblCellMar>
          <w:top w:w="0" w:type="dxa"/>
          <w:left w:w="0" w:type="dxa"/>
          <w:bottom w:w="0" w:type="dxa"/>
          <w:right w:w="0" w:type="dxa"/>
        </w:tblCellMar>
      </w:tblPr>
      <w:tblGrid>
        <w:gridCol w:w="37"/>
        <w:gridCol w:w="243"/>
        <w:gridCol w:w="9925"/>
      </w:tblGrid>
      <w:tr>
        <w:trPr/>
        <w:tc>
          <w:tcPr>
            <w:tcW w:w="37"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pPr>
            <w:r>
              <w:rPr/>
              <w:t>(4)</w:t>
            </w:r>
          </w:p>
        </w:tc>
        <w:tc>
          <w:tcPr>
            <w:tcW w:w="9925" w:type="dxa"/>
            <w:tcBorders/>
            <w:vAlign w:val="center"/>
          </w:tcPr>
          <w:p>
            <w:pPr>
              <w:pStyle w:val="TableContents"/>
              <w:bidi w:val="0"/>
              <w:spacing w:before="0" w:after="283"/>
              <w:jc w:val="both"/>
              <w:rPr/>
            </w:pPr>
            <w:r>
              <w:rPr/>
              <w:t>Per $1,000 principal amount of the Pool 1 Notes validly tendered prior to or at the Early Tender Date (and not validly withdrawn at or prior to the Withdrawal Deadline (as defined below)) and accepted for exchange, to be paid in the form of New 2038 Notes.</w:t>
            </w:r>
          </w:p>
        </w:tc>
      </w:tr>
    </w:tbl>
    <w:tbl>
      <w:tblPr>
        <w:tblW w:w="5000" w:type="pct"/>
        <w:jc w:val="left"/>
        <w:tblInd w:w="0" w:type="dxa"/>
        <w:tblLayout w:type="fixed"/>
        <w:tblCellMar>
          <w:top w:w="0" w:type="dxa"/>
          <w:left w:w="0" w:type="dxa"/>
          <w:bottom w:w="0" w:type="dxa"/>
          <w:right w:w="0" w:type="dxa"/>
        </w:tblCellMar>
      </w:tblPr>
      <w:tblGrid>
        <w:gridCol w:w="37"/>
        <w:gridCol w:w="241"/>
        <w:gridCol w:w="9927"/>
      </w:tblGrid>
      <w:tr>
        <w:trPr/>
        <w:tc>
          <w:tcPr>
            <w:tcW w:w="3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pPr>
            <w:r>
              <w:rPr/>
              <w:t>(5)</w:t>
            </w:r>
          </w:p>
        </w:tc>
        <w:tc>
          <w:tcPr>
            <w:tcW w:w="9927" w:type="dxa"/>
            <w:tcBorders/>
            <w:vAlign w:val="center"/>
          </w:tcPr>
          <w:p>
            <w:pPr>
              <w:pStyle w:val="TableContents"/>
              <w:bidi w:val="0"/>
              <w:spacing w:before="0" w:after="283"/>
              <w:jc w:val="both"/>
              <w:rPr/>
            </w:pPr>
            <w:r>
              <w:rPr/>
              <w:t>The Total Exchange Consideration (as defined below) for the Pool 1 Notes validly tendered prior to or at the Early Tender Date (and not validly withdrawn at or prior to the Withdrawal Deadline) and accepted for exchange is inclusive of the Early Exchange Premium.</w:t>
            </w:r>
          </w:p>
        </w:tc>
      </w:tr>
    </w:tbl>
    <w:tbl>
      <w:tblPr>
        <w:tblW w:w="5000" w:type="pct"/>
        <w:jc w:val="left"/>
        <w:tblInd w:w="0" w:type="dxa"/>
        <w:tblLayout w:type="fixed"/>
        <w:tblCellMar>
          <w:top w:w="0" w:type="dxa"/>
          <w:left w:w="0" w:type="dxa"/>
          <w:bottom w:w="0" w:type="dxa"/>
          <w:right w:w="0" w:type="dxa"/>
        </w:tblCellMar>
      </w:tblPr>
      <w:tblGrid>
        <w:gridCol w:w="37"/>
        <w:gridCol w:w="242"/>
        <w:gridCol w:w="9926"/>
      </w:tblGrid>
      <w:tr>
        <w:trPr/>
        <w:tc>
          <w:tcPr>
            <w:tcW w:w="37"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pPr>
            <w:r>
              <w:rPr/>
              <w:t>(6)</w:t>
            </w:r>
          </w:p>
        </w:tc>
        <w:tc>
          <w:tcPr>
            <w:tcW w:w="9926" w:type="dxa"/>
            <w:tcBorders/>
            <w:vAlign w:val="center"/>
          </w:tcPr>
          <w:p>
            <w:pPr>
              <w:pStyle w:val="TableContents"/>
              <w:bidi w:val="0"/>
              <w:spacing w:before="0" w:after="283"/>
              <w:jc w:val="both"/>
              <w:rPr/>
            </w:pPr>
            <w:r>
              <w:rPr/>
              <w:t>Represents the portion of the Total Exchange Consideration or the Base Exchange Consideration in each case for the Pool 1 Notes, as applicable, that will be payable in cash per $1,000 principal amount of Pool 1 Notes validly tendered and accepted for exchange.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Charter also announced today the commencement by CCO Issuers of a private offer to exchange (the “Pool 2 Offer”) five series of notes (collectively, the “Pool 2 Notes” and, together with the Pool 1 Notes, the “Old Notes” and each series of Old Notes, a “series of Old Notes”) for a combination of cash and a new series of Senior Secured Notes due 2041 (the “New 2041 Notes” and, together with the New 2038 Notes, the “New Notes” and each series of New Notes, a “series of New Notes”) to be issued by the CCO Issuers with registration rights, as described and for the consideration summarized in the table below. The aggregate principal amount of Pool 2 Notes of each series that are accepted for exchange will be based on, among other things, the order of acceptance priority for such series as set forth in the table below, such that the aggregate principal amount of Pool 2 Notes accepted in the Pool 2 Offer results in the issuance of New 2041 Notes in an amount not exceeding $1,750,000,000 (the “New 2041 Notes Cap”).</w:t>
      </w:r>
    </w:p>
    <w:p>
      <w:pPr>
        <w:pStyle w:val="TextBody"/>
        <w:bidi w:val="0"/>
        <w:spacing w:before="0" w:after="0"/>
        <w:ind w:left="0" w:right="0" w:firstLine="720"/>
        <w:jc w:val="both"/>
        <w:rPr>
          <w:caps w:val="false"/>
          <w:smallCaps w:val="false"/>
        </w:rPr>
      </w:pPr>
      <w:r>
        <w:rPr>
          <w:caps w:val="false"/>
          <w:smallCaps w:val="false"/>
        </w:rPr>
        <w:t> </w:t>
      </w:r>
    </w:p>
    <w:tbl>
      <w:tblPr>
        <w:tblW w:w="10300" w:type="dxa"/>
        <w:jc w:val="left"/>
        <w:tblInd w:w="0" w:type="dxa"/>
        <w:tblLayout w:type="fixed"/>
        <w:tblCellMar>
          <w:top w:w="0" w:type="dxa"/>
          <w:left w:w="0" w:type="dxa"/>
          <w:bottom w:w="0" w:type="dxa"/>
          <w:right w:w="0" w:type="dxa"/>
        </w:tblCellMar>
      </w:tblPr>
      <w:tblGrid>
        <w:gridCol w:w="605"/>
        <w:gridCol w:w="725"/>
        <w:gridCol w:w="1310"/>
        <w:gridCol w:w="1475"/>
        <w:gridCol w:w="980"/>
        <w:gridCol w:w="800"/>
        <w:gridCol w:w="860"/>
        <w:gridCol w:w="980"/>
        <w:gridCol w:w="620"/>
        <w:gridCol w:w="875"/>
        <w:gridCol w:w="1070"/>
      </w:tblGrid>
      <w:tr>
        <w:trPr/>
        <w:tc>
          <w:tcPr>
            <w:tcW w:w="605" w:type="dxa"/>
            <w:tcBorders/>
            <w:vAlign w:val="center"/>
          </w:tcPr>
          <w:p>
            <w:pPr>
              <w:pStyle w:val="TableContents"/>
              <w:bidi w:val="0"/>
              <w:spacing w:before="0" w:after="283"/>
              <w:jc w:val="center"/>
              <w:rPr>
                <w:b/>
                <w:sz w:val="20"/>
              </w:rPr>
            </w:pPr>
            <w:r>
              <w:rPr>
                <w:b/>
                <w:sz w:val="20"/>
              </w:rPr>
              <w:t>Issuer(s)</w:t>
            </w:r>
          </w:p>
        </w:tc>
        <w:tc>
          <w:tcPr>
            <w:tcW w:w="725" w:type="dxa"/>
            <w:tcBorders/>
            <w:vAlign w:val="center"/>
          </w:tcPr>
          <w:p>
            <w:pPr>
              <w:pStyle w:val="TableContents"/>
              <w:bidi w:val="0"/>
              <w:spacing w:before="0" w:after="283"/>
              <w:jc w:val="center"/>
              <w:rPr>
                <w:b/>
                <w:sz w:val="20"/>
              </w:rPr>
            </w:pPr>
            <w:r>
              <w:rPr>
                <w:b/>
                <w:sz w:val="20"/>
              </w:rPr>
              <w:t>Title of</w:t>
              <w:br/>
              <w:t>Security</w:t>
            </w:r>
          </w:p>
        </w:tc>
        <w:tc>
          <w:tcPr>
            <w:tcW w:w="1310" w:type="dxa"/>
            <w:tcBorders/>
            <w:vAlign w:val="center"/>
          </w:tcPr>
          <w:p>
            <w:pPr>
              <w:pStyle w:val="TableContents"/>
              <w:bidi w:val="0"/>
              <w:spacing w:before="0" w:after="283"/>
              <w:jc w:val="center"/>
              <w:rPr>
                <w:b/>
                <w:sz w:val="20"/>
              </w:rPr>
            </w:pPr>
            <w:r>
              <w:rPr>
                <w:b/>
                <w:sz w:val="20"/>
              </w:rPr>
              <w:t>Aggregate</w:t>
              <w:br/>
              <w:t>Principal</w:t>
              <w:br/>
              <w:t>Amount</w:t>
              <w:br/>
              <w:t>Outstanding</w:t>
            </w:r>
          </w:p>
        </w:tc>
        <w:tc>
          <w:tcPr>
            <w:tcW w:w="1475" w:type="dxa"/>
            <w:tcBorders/>
            <w:vAlign w:val="center"/>
          </w:tcPr>
          <w:p>
            <w:pPr>
              <w:pStyle w:val="TableContents"/>
              <w:bidi w:val="0"/>
              <w:spacing w:before="0" w:after="283"/>
              <w:jc w:val="center"/>
              <w:rPr>
                <w:b/>
                <w:sz w:val="20"/>
              </w:rPr>
            </w:pPr>
            <w:r>
              <w:rPr>
                <w:b/>
                <w:sz w:val="20"/>
              </w:rPr>
              <w:t>CUSIP No./</w:t>
              <w:br/>
              <w:t>ISIN</w:t>
            </w:r>
            <w:r>
              <w:rPr>
                <w:b/>
                <w:position w:val="7"/>
                <w:sz w:val="16"/>
                <w:sz w:val="20"/>
              </w:rPr>
              <w:t>(1)</w:t>
            </w:r>
          </w:p>
        </w:tc>
        <w:tc>
          <w:tcPr>
            <w:tcW w:w="980" w:type="dxa"/>
            <w:tcBorders/>
            <w:vAlign w:val="center"/>
          </w:tcPr>
          <w:p>
            <w:pPr>
              <w:pStyle w:val="TableContents"/>
              <w:bidi w:val="0"/>
              <w:spacing w:before="0" w:after="283"/>
              <w:jc w:val="center"/>
              <w:rPr>
                <w:b/>
                <w:sz w:val="20"/>
              </w:rPr>
            </w:pPr>
            <w:r>
              <w:rPr>
                <w:b/>
                <w:sz w:val="20"/>
              </w:rPr>
              <w:t>Acceptance</w:t>
              <w:br/>
              <w:t>Priority</w:t>
              <w:br/>
              <w:t>Level</w:t>
            </w:r>
            <w:r>
              <w:rPr>
                <w:b/>
                <w:position w:val="7"/>
                <w:sz w:val="16"/>
                <w:sz w:val="20"/>
              </w:rPr>
              <w:t>(2)</w:t>
            </w:r>
          </w:p>
        </w:tc>
        <w:tc>
          <w:tcPr>
            <w:tcW w:w="800" w:type="dxa"/>
            <w:tcBorders/>
            <w:vAlign w:val="center"/>
          </w:tcPr>
          <w:p>
            <w:pPr>
              <w:pStyle w:val="TableContents"/>
              <w:bidi w:val="0"/>
              <w:spacing w:before="0" w:after="283"/>
              <w:jc w:val="center"/>
              <w:rPr>
                <w:b/>
                <w:sz w:val="20"/>
              </w:rPr>
            </w:pPr>
            <w:r>
              <w:rPr>
                <w:b/>
                <w:sz w:val="20"/>
              </w:rPr>
              <w:t>Sub-Cap</w:t>
            </w:r>
            <w:r>
              <w:rPr>
                <w:b/>
                <w:position w:val="7"/>
                <w:sz w:val="16"/>
                <w:sz w:val="20"/>
              </w:rPr>
              <w:t>(2)</w:t>
            </w:r>
          </w:p>
        </w:tc>
        <w:tc>
          <w:tcPr>
            <w:tcW w:w="860" w:type="dxa"/>
            <w:tcBorders/>
            <w:vAlign w:val="center"/>
          </w:tcPr>
          <w:p>
            <w:pPr>
              <w:pStyle w:val="TableContents"/>
              <w:bidi w:val="0"/>
              <w:spacing w:before="0" w:after="283"/>
              <w:jc w:val="center"/>
              <w:rPr>
                <w:b/>
                <w:sz w:val="20"/>
              </w:rPr>
            </w:pPr>
            <w:r>
              <w:rPr>
                <w:b/>
                <w:sz w:val="20"/>
              </w:rPr>
              <w:t>Reference</w:t>
              <w:br/>
              <w:t>Treasury</w:t>
            </w:r>
          </w:p>
        </w:tc>
        <w:tc>
          <w:tcPr>
            <w:tcW w:w="980" w:type="dxa"/>
            <w:tcBorders/>
            <w:vAlign w:val="center"/>
          </w:tcPr>
          <w:p>
            <w:pPr>
              <w:pStyle w:val="TableContents"/>
              <w:bidi w:val="0"/>
              <w:spacing w:before="0" w:after="283"/>
              <w:jc w:val="center"/>
              <w:rPr>
                <w:b/>
                <w:sz w:val="20"/>
              </w:rPr>
            </w:pPr>
            <w:r>
              <w:rPr>
                <w:b/>
                <w:sz w:val="20"/>
              </w:rPr>
              <w:t>Bloomberg</w:t>
              <w:br/>
              <w:t>Reference</w:t>
              <w:br/>
              <w:t>Page</w:t>
            </w:r>
            <w:r>
              <w:rPr>
                <w:b/>
                <w:position w:val="7"/>
                <w:sz w:val="16"/>
                <w:sz w:val="20"/>
              </w:rPr>
              <w:t>(3)</w:t>
            </w:r>
          </w:p>
        </w:tc>
        <w:tc>
          <w:tcPr>
            <w:tcW w:w="620" w:type="dxa"/>
            <w:tcBorders/>
            <w:vAlign w:val="center"/>
          </w:tcPr>
          <w:p>
            <w:pPr>
              <w:pStyle w:val="TableContents"/>
              <w:bidi w:val="0"/>
              <w:spacing w:before="0" w:after="283"/>
              <w:jc w:val="center"/>
              <w:rPr>
                <w:b/>
                <w:sz w:val="20"/>
              </w:rPr>
            </w:pPr>
            <w:r>
              <w:rPr>
                <w:b/>
                <w:sz w:val="20"/>
              </w:rPr>
              <w:t>Fixed</w:t>
              <w:br/>
              <w:t>Spread</w:t>
              <w:br/>
              <w:t>(Basis</w:t>
              <w:br/>
              <w:t>Points)</w:t>
            </w:r>
          </w:p>
        </w:tc>
        <w:tc>
          <w:tcPr>
            <w:tcW w:w="875" w:type="dxa"/>
            <w:tcBorders/>
            <w:vAlign w:val="center"/>
          </w:tcPr>
          <w:p>
            <w:pPr>
              <w:pStyle w:val="TableContents"/>
              <w:bidi w:val="0"/>
              <w:spacing w:before="0" w:after="283"/>
              <w:jc w:val="center"/>
              <w:rPr>
                <w:b/>
                <w:sz w:val="20"/>
              </w:rPr>
            </w:pPr>
            <w:r>
              <w:rPr>
                <w:b/>
                <w:sz w:val="20"/>
              </w:rPr>
              <w:t>Early</w:t>
              <w:br/>
              <w:t>Exchange</w:t>
              <w:br/>
              <w:t>Premium</w:t>
            </w:r>
            <w:r>
              <w:rPr>
                <w:b/>
                <w:position w:val="7"/>
                <w:sz w:val="16"/>
                <w:sz w:val="20"/>
              </w:rPr>
              <w:t>(4)(5)</w:t>
            </w:r>
          </w:p>
        </w:tc>
        <w:tc>
          <w:tcPr>
            <w:tcW w:w="1070" w:type="dxa"/>
            <w:tcBorders/>
            <w:vAlign w:val="center"/>
          </w:tcPr>
          <w:p>
            <w:pPr>
              <w:pStyle w:val="TableContents"/>
              <w:bidi w:val="0"/>
              <w:spacing w:before="0" w:after="283"/>
              <w:jc w:val="center"/>
              <w:rPr>
                <w:b/>
                <w:sz w:val="20"/>
              </w:rPr>
            </w:pPr>
            <w:r>
              <w:rPr>
                <w:b/>
                <w:sz w:val="20"/>
              </w:rPr>
              <w:t>Cash</w:t>
              <w:br/>
              <w:t>Component</w:t>
            </w:r>
            <w:r>
              <w:rPr>
                <w:b/>
                <w:position w:val="7"/>
                <w:sz w:val="16"/>
                <w:sz w:val="20"/>
              </w:rPr>
              <w:t>(6)</w:t>
            </w:r>
          </w:p>
        </w:tc>
      </w:tr>
      <w:tr>
        <w:trPr/>
        <w:tc>
          <w:tcPr>
            <w:tcW w:w="605" w:type="dxa"/>
            <w:vMerge w:val="restart"/>
            <w:tcBorders>
              <w:top w:val="single" w:sz="8" w:space="0" w:color="000000"/>
              <w:left w:val="single" w:sz="8" w:space="0" w:color="000000"/>
              <w:bottom w:val="single" w:sz="8" w:space="0" w:color="000000"/>
              <w:right w:val="single" w:sz="8" w:space="0" w:color="000000"/>
            </w:tcBorders>
            <w:tcMar>
              <w:top w:w="28" w:type="dxa"/>
              <w:left w:w="108" w:type="dxa"/>
              <w:bottom w:w="28" w:type="dxa"/>
              <w:right w:w="108" w:type="dxa"/>
            </w:tcMar>
            <w:vAlign w:val="center"/>
          </w:tcPr>
          <w:p>
            <w:pPr>
              <w:pStyle w:val="TableContents"/>
              <w:bidi w:val="0"/>
              <w:spacing w:before="0" w:after="283"/>
              <w:jc w:val="center"/>
              <w:rPr>
                <w:sz w:val="20"/>
              </w:rPr>
            </w:pPr>
            <w:r>
              <w:rPr>
                <w:sz w:val="20"/>
              </w:rPr>
              <w:t>CCO Issuers</w:t>
            </w:r>
          </w:p>
        </w:tc>
        <w:tc>
          <w:tcPr>
            <w:tcW w:w="725" w:type="dxa"/>
            <w:tcBorders>
              <w:top w:val="single" w:sz="8" w:space="0" w:color="000000"/>
              <w:bottom w:val="single" w:sz="8" w:space="0" w:color="000000"/>
              <w:right w:val="single" w:sz="8" w:space="0" w:color="000000"/>
            </w:tcBorders>
            <w:tcMar>
              <w:top w:w="28" w:type="dxa"/>
              <w:bottom w:w="28" w:type="dxa"/>
              <w:right w:w="108" w:type="dxa"/>
            </w:tcMar>
            <w:vAlign w:val="center"/>
          </w:tcPr>
          <w:p>
            <w:pPr>
              <w:pStyle w:val="TableContents"/>
              <w:bidi w:val="0"/>
              <w:spacing w:before="0" w:after="283"/>
              <w:jc w:val="center"/>
              <w:rPr>
                <w:sz w:val="20"/>
              </w:rPr>
            </w:pPr>
            <w:r>
              <w:rPr>
                <w:sz w:val="20"/>
              </w:rPr>
              <w:t xml:space="preserve">3.700% senior secured notes due 2051 </w:t>
            </w:r>
          </w:p>
        </w:tc>
        <w:tc>
          <w:tcPr>
            <w:tcW w:w="1310" w:type="dxa"/>
            <w:tcBorders>
              <w:top w:val="single" w:sz="8" w:space="0" w:color="000000"/>
              <w:bottom w:val="single" w:sz="8" w:space="0" w:color="000000"/>
              <w:right w:val="single" w:sz="8" w:space="0" w:color="000000"/>
            </w:tcBorders>
            <w:tcMar>
              <w:top w:w="28" w:type="dxa"/>
              <w:bottom w:w="28" w:type="dxa"/>
              <w:right w:w="108" w:type="dxa"/>
            </w:tcMar>
            <w:vAlign w:val="center"/>
          </w:tcPr>
          <w:p>
            <w:pPr>
              <w:pStyle w:val="TableContents"/>
              <w:bidi w:val="0"/>
              <w:spacing w:before="0" w:after="283"/>
              <w:jc w:val="center"/>
              <w:rPr>
                <w:sz w:val="20"/>
              </w:rPr>
            </w:pPr>
            <w:r>
              <w:rPr>
                <w:sz w:val="20"/>
              </w:rPr>
              <w:t>$2,050,000,000</w:t>
            </w:r>
          </w:p>
        </w:tc>
        <w:tc>
          <w:tcPr>
            <w:tcW w:w="1475" w:type="dxa"/>
            <w:tcBorders>
              <w:top w:val="single" w:sz="8" w:space="0" w:color="000000"/>
              <w:bottom w:val="single" w:sz="8" w:space="0" w:color="000000"/>
              <w:right w:val="single" w:sz="8" w:space="0" w:color="000000"/>
            </w:tcBorders>
            <w:tcMar>
              <w:top w:w="28" w:type="dxa"/>
              <w:bottom w:w="28" w:type="dxa"/>
              <w:right w:w="108" w:type="dxa"/>
            </w:tcMar>
            <w:vAlign w:val="center"/>
          </w:tcPr>
          <w:p>
            <w:pPr>
              <w:pStyle w:val="TableContents"/>
              <w:bidi w:val="0"/>
              <w:spacing w:before="0" w:after="283"/>
              <w:jc w:val="center"/>
              <w:rPr>
                <w:sz w:val="20"/>
              </w:rPr>
            </w:pPr>
            <w:r>
              <w:rPr>
                <w:sz w:val="20"/>
              </w:rPr>
              <w:t>161175BV5 / US161175BV50</w:t>
            </w:r>
          </w:p>
        </w:tc>
        <w:tc>
          <w:tcPr>
            <w:tcW w:w="980" w:type="dxa"/>
            <w:tcBorders>
              <w:top w:val="single" w:sz="8" w:space="0" w:color="000000"/>
              <w:bottom w:val="single" w:sz="8" w:space="0" w:color="000000"/>
              <w:right w:val="single" w:sz="8" w:space="0" w:color="000000"/>
            </w:tcBorders>
            <w:tcMar>
              <w:top w:w="28" w:type="dxa"/>
              <w:bottom w:w="28" w:type="dxa"/>
              <w:right w:w="108" w:type="dxa"/>
            </w:tcMar>
            <w:vAlign w:val="center"/>
          </w:tcPr>
          <w:p>
            <w:pPr>
              <w:pStyle w:val="TableContents"/>
              <w:bidi w:val="0"/>
              <w:spacing w:before="0" w:after="283"/>
              <w:jc w:val="center"/>
              <w:rPr>
                <w:sz w:val="20"/>
              </w:rPr>
            </w:pPr>
            <w:r>
              <w:rPr>
                <w:sz w:val="20"/>
              </w:rPr>
              <w:t>1</w:t>
            </w:r>
          </w:p>
        </w:tc>
        <w:tc>
          <w:tcPr>
            <w:tcW w:w="800" w:type="dxa"/>
            <w:tcBorders>
              <w:top w:val="single" w:sz="8" w:space="0" w:color="000000"/>
              <w:bottom w:val="single" w:sz="8" w:space="0" w:color="000000"/>
              <w:right w:val="single" w:sz="8" w:space="0" w:color="000000"/>
            </w:tcBorders>
            <w:tcMar>
              <w:top w:w="28" w:type="dxa"/>
              <w:bottom w:w="28" w:type="dxa"/>
              <w:right w:w="108" w:type="dxa"/>
            </w:tcMar>
            <w:vAlign w:val="center"/>
          </w:tcPr>
          <w:p>
            <w:pPr>
              <w:pStyle w:val="TableContents"/>
              <w:bidi w:val="0"/>
              <w:spacing w:before="0" w:after="283"/>
              <w:jc w:val="center"/>
              <w:rPr>
                <w:sz w:val="20"/>
              </w:rPr>
            </w:pPr>
            <w:r>
              <w:rPr>
                <w:sz w:val="20"/>
              </w:rPr>
              <w:t>N/A</w:t>
            </w:r>
          </w:p>
        </w:tc>
        <w:tc>
          <w:tcPr>
            <w:tcW w:w="860" w:type="dxa"/>
            <w:tcBorders>
              <w:top w:val="single" w:sz="8" w:space="0" w:color="000000"/>
              <w:bottom w:val="single" w:sz="8" w:space="0" w:color="000000"/>
              <w:right w:val="single" w:sz="8" w:space="0" w:color="000000"/>
            </w:tcBorders>
            <w:tcMar>
              <w:top w:w="28" w:type="dxa"/>
              <w:bottom w:w="28" w:type="dxa"/>
              <w:right w:w="108" w:type="dxa"/>
            </w:tcMar>
            <w:vAlign w:val="center"/>
          </w:tcPr>
          <w:p>
            <w:pPr>
              <w:pStyle w:val="TableContents"/>
              <w:bidi w:val="0"/>
              <w:spacing w:before="0" w:after="283"/>
              <w:jc w:val="center"/>
              <w:rPr>
                <w:sz w:val="20"/>
              </w:rPr>
            </w:pPr>
            <w:r>
              <w:rPr>
                <w:sz w:val="20"/>
              </w:rPr>
              <w:t>4.750% due February 15, 2056</w:t>
            </w:r>
          </w:p>
        </w:tc>
        <w:tc>
          <w:tcPr>
            <w:tcW w:w="980" w:type="dxa"/>
            <w:tcBorders>
              <w:top w:val="single" w:sz="8" w:space="0" w:color="000000"/>
              <w:bottom w:val="single" w:sz="8" w:space="0" w:color="000000"/>
              <w:right w:val="single" w:sz="8" w:space="0" w:color="000000"/>
            </w:tcBorders>
            <w:tcMar>
              <w:top w:w="28" w:type="dxa"/>
              <w:bottom w:w="28" w:type="dxa"/>
              <w:right w:w="108" w:type="dxa"/>
            </w:tcMar>
            <w:vAlign w:val="center"/>
          </w:tcPr>
          <w:p>
            <w:pPr>
              <w:pStyle w:val="TableContents"/>
              <w:bidi w:val="0"/>
              <w:spacing w:before="0" w:after="283"/>
              <w:jc w:val="center"/>
              <w:rPr>
                <w:sz w:val="20"/>
              </w:rPr>
            </w:pPr>
            <w:r>
              <w:rPr>
                <w:sz w:val="20"/>
              </w:rPr>
              <w:t>FIT 1</w:t>
            </w:r>
          </w:p>
        </w:tc>
        <w:tc>
          <w:tcPr>
            <w:tcW w:w="620" w:type="dxa"/>
            <w:tcBorders>
              <w:top w:val="single" w:sz="8" w:space="0" w:color="000000"/>
              <w:bottom w:val="single" w:sz="8" w:space="0" w:color="000000"/>
              <w:right w:val="single" w:sz="8" w:space="0" w:color="000000"/>
            </w:tcBorders>
            <w:tcMar>
              <w:top w:w="28" w:type="dxa"/>
              <w:bottom w:w="28" w:type="dxa"/>
              <w:right w:w="108" w:type="dxa"/>
            </w:tcMar>
            <w:vAlign w:val="center"/>
          </w:tcPr>
          <w:p>
            <w:pPr>
              <w:pStyle w:val="TableContents"/>
              <w:bidi w:val="0"/>
              <w:spacing w:before="0" w:after="283"/>
              <w:jc w:val="center"/>
              <w:rPr>
                <w:sz w:val="20"/>
              </w:rPr>
            </w:pPr>
            <w:r>
              <w:rPr>
                <w:sz w:val="20"/>
              </w:rPr>
              <w:t>+190 Bps</w:t>
            </w:r>
          </w:p>
        </w:tc>
        <w:tc>
          <w:tcPr>
            <w:tcW w:w="875" w:type="dxa"/>
            <w:tcBorders>
              <w:top w:val="single" w:sz="8" w:space="0" w:color="000000"/>
              <w:bottom w:val="single" w:sz="8" w:space="0" w:color="000000"/>
              <w:right w:val="single" w:sz="8" w:space="0" w:color="000000"/>
            </w:tcBorders>
            <w:tcMar>
              <w:top w:w="28" w:type="dxa"/>
              <w:bottom w:w="28" w:type="dxa"/>
              <w:right w:w="108" w:type="dxa"/>
            </w:tcMar>
            <w:vAlign w:val="center"/>
          </w:tcPr>
          <w:p>
            <w:pPr>
              <w:pStyle w:val="TableContents"/>
              <w:bidi w:val="0"/>
              <w:spacing w:before="0" w:after="283"/>
              <w:jc w:val="center"/>
              <w:rPr>
                <w:sz w:val="20"/>
              </w:rPr>
            </w:pPr>
            <w:r>
              <w:rPr>
                <w:sz w:val="20"/>
              </w:rPr>
              <w:t xml:space="preserve">$50.00 </w:t>
            </w:r>
          </w:p>
        </w:tc>
        <w:tc>
          <w:tcPr>
            <w:tcW w:w="1070" w:type="dxa"/>
            <w:tcBorders>
              <w:top w:val="single" w:sz="8" w:space="0" w:color="000000"/>
              <w:bottom w:val="single" w:sz="8" w:space="0" w:color="000000"/>
              <w:right w:val="single" w:sz="8" w:space="0" w:color="000000"/>
            </w:tcBorders>
            <w:tcMar>
              <w:top w:w="28" w:type="dxa"/>
              <w:bottom w:w="28" w:type="dxa"/>
              <w:right w:w="108" w:type="dxa"/>
            </w:tcMar>
            <w:vAlign w:val="center"/>
          </w:tcPr>
          <w:p>
            <w:pPr>
              <w:pStyle w:val="TableContents"/>
              <w:bidi w:val="0"/>
              <w:spacing w:before="0" w:after="283"/>
              <w:jc w:val="center"/>
              <w:rPr>
                <w:sz w:val="20"/>
              </w:rPr>
            </w:pPr>
            <w:r>
              <w:rPr>
                <w:sz w:val="20"/>
              </w:rPr>
              <w:t>$0.00</w:t>
            </w:r>
          </w:p>
        </w:tc>
      </w:tr>
      <w:tr>
        <w:trPr/>
        <w:tc>
          <w:tcPr>
            <w:tcW w:w="605" w:type="dxa"/>
            <w:vMerge w:val="continue"/>
            <w:tcBorders>
              <w:top w:val="single" w:sz="8" w:space="0" w:color="000000"/>
              <w:left w:val="single" w:sz="8" w:space="0" w:color="000000"/>
              <w:bottom w:val="single" w:sz="8" w:space="0" w:color="000000"/>
              <w:right w:val="single" w:sz="8" w:space="0" w:color="000000"/>
            </w:tcBorders>
            <w:tcMar>
              <w:top w:w="28" w:type="dxa"/>
              <w:left w:w="108" w:type="dxa"/>
              <w:bottom w:w="28" w:type="dxa"/>
              <w:right w:w="108" w:type="dxa"/>
            </w:tcMar>
            <w:vAlign w:val="center"/>
          </w:tcPr>
          <w:p>
            <w:pPr>
              <w:pStyle w:val="Normal"/>
              <w:bidi w:val="0"/>
              <w:jc w:val="left"/>
              <w:rPr/>
            </w:pPr>
            <w:r>
              <w:rPr/>
            </w:r>
          </w:p>
        </w:tc>
        <w:tc>
          <w:tcPr>
            <w:tcW w:w="725" w:type="dxa"/>
            <w:tcBorders>
              <w:bottom w:val="single" w:sz="8" w:space="0" w:color="000000"/>
              <w:right w:val="single" w:sz="8" w:space="0" w:color="000000"/>
            </w:tcBorders>
            <w:tcMar>
              <w:bottom w:w="28" w:type="dxa"/>
              <w:right w:w="108" w:type="dxa"/>
            </w:tcMar>
            <w:vAlign w:val="center"/>
          </w:tcPr>
          <w:p>
            <w:pPr>
              <w:pStyle w:val="TableContents"/>
              <w:bidi w:val="0"/>
              <w:spacing w:before="0" w:after="283"/>
              <w:jc w:val="center"/>
              <w:rPr>
                <w:sz w:val="20"/>
              </w:rPr>
            </w:pPr>
            <w:r>
              <w:rPr>
                <w:sz w:val="20"/>
              </w:rPr>
              <w:t xml:space="preserve">3.900% senior secured notes due 2052 </w:t>
            </w:r>
          </w:p>
        </w:tc>
        <w:tc>
          <w:tcPr>
            <w:tcW w:w="1310" w:type="dxa"/>
            <w:tcBorders>
              <w:bottom w:val="single" w:sz="8" w:space="0" w:color="000000"/>
              <w:right w:val="single" w:sz="8" w:space="0" w:color="000000"/>
            </w:tcBorders>
            <w:tcMar>
              <w:bottom w:w="28" w:type="dxa"/>
              <w:right w:w="108" w:type="dxa"/>
            </w:tcMar>
            <w:vAlign w:val="center"/>
          </w:tcPr>
          <w:p>
            <w:pPr>
              <w:pStyle w:val="TableContents"/>
              <w:bidi w:val="0"/>
              <w:spacing w:before="0" w:after="283"/>
              <w:jc w:val="center"/>
              <w:rPr>
                <w:sz w:val="20"/>
              </w:rPr>
            </w:pPr>
            <w:r>
              <w:rPr>
                <w:sz w:val="20"/>
              </w:rPr>
              <w:t>$2,400,000,000</w:t>
            </w:r>
          </w:p>
        </w:tc>
        <w:tc>
          <w:tcPr>
            <w:tcW w:w="1475" w:type="dxa"/>
            <w:tcBorders>
              <w:bottom w:val="single" w:sz="8" w:space="0" w:color="000000"/>
              <w:right w:val="single" w:sz="8" w:space="0" w:color="000000"/>
            </w:tcBorders>
            <w:tcMar>
              <w:bottom w:w="28" w:type="dxa"/>
              <w:right w:w="108" w:type="dxa"/>
            </w:tcMar>
            <w:vAlign w:val="center"/>
          </w:tcPr>
          <w:p>
            <w:pPr>
              <w:pStyle w:val="TableContents"/>
              <w:bidi w:val="0"/>
              <w:spacing w:before="0" w:after="283"/>
              <w:jc w:val="center"/>
              <w:rPr>
                <w:sz w:val="20"/>
              </w:rPr>
            </w:pPr>
            <w:r>
              <w:rPr>
                <w:sz w:val="20"/>
              </w:rPr>
              <w:t>161175CA0 / US161175CA05</w:t>
            </w:r>
          </w:p>
        </w:tc>
        <w:tc>
          <w:tcPr>
            <w:tcW w:w="980" w:type="dxa"/>
            <w:tcBorders>
              <w:bottom w:val="single" w:sz="8" w:space="0" w:color="000000"/>
              <w:right w:val="single" w:sz="8" w:space="0" w:color="000000"/>
            </w:tcBorders>
            <w:tcMar>
              <w:bottom w:w="28" w:type="dxa"/>
              <w:right w:w="108" w:type="dxa"/>
            </w:tcMar>
            <w:vAlign w:val="center"/>
          </w:tcPr>
          <w:p>
            <w:pPr>
              <w:pStyle w:val="TableContents"/>
              <w:bidi w:val="0"/>
              <w:spacing w:before="0" w:after="283"/>
              <w:jc w:val="center"/>
              <w:rPr>
                <w:sz w:val="20"/>
              </w:rPr>
            </w:pPr>
            <w:r>
              <w:rPr>
                <w:sz w:val="20"/>
              </w:rPr>
              <w:t>2</w:t>
            </w:r>
          </w:p>
        </w:tc>
        <w:tc>
          <w:tcPr>
            <w:tcW w:w="800" w:type="dxa"/>
            <w:tcBorders>
              <w:bottom w:val="single" w:sz="8" w:space="0" w:color="000000"/>
              <w:right w:val="single" w:sz="8" w:space="0" w:color="000000"/>
            </w:tcBorders>
            <w:tcMar>
              <w:bottom w:w="28" w:type="dxa"/>
              <w:right w:w="108" w:type="dxa"/>
            </w:tcMar>
            <w:vAlign w:val="center"/>
          </w:tcPr>
          <w:p>
            <w:pPr>
              <w:pStyle w:val="TableContents"/>
              <w:bidi w:val="0"/>
              <w:spacing w:before="0" w:after="283"/>
              <w:jc w:val="center"/>
              <w:rPr>
                <w:sz w:val="20"/>
              </w:rPr>
            </w:pPr>
            <w:r>
              <w:rPr>
                <w:sz w:val="20"/>
              </w:rPr>
              <w:t>N/A</w:t>
            </w:r>
          </w:p>
        </w:tc>
        <w:tc>
          <w:tcPr>
            <w:tcW w:w="860" w:type="dxa"/>
            <w:tcBorders>
              <w:bottom w:val="single" w:sz="8" w:space="0" w:color="000000"/>
              <w:right w:val="single" w:sz="8" w:space="0" w:color="000000"/>
            </w:tcBorders>
            <w:tcMar>
              <w:bottom w:w="28" w:type="dxa"/>
              <w:right w:w="108" w:type="dxa"/>
            </w:tcMar>
            <w:vAlign w:val="center"/>
          </w:tcPr>
          <w:p>
            <w:pPr>
              <w:pStyle w:val="TableContents"/>
              <w:bidi w:val="0"/>
              <w:spacing w:before="0" w:after="283"/>
              <w:jc w:val="center"/>
              <w:rPr>
                <w:sz w:val="20"/>
              </w:rPr>
            </w:pPr>
            <w:r>
              <w:rPr>
                <w:sz w:val="20"/>
              </w:rPr>
              <w:t>4.750% due February 15, 2056</w:t>
            </w:r>
          </w:p>
        </w:tc>
        <w:tc>
          <w:tcPr>
            <w:tcW w:w="980" w:type="dxa"/>
            <w:tcBorders>
              <w:bottom w:val="single" w:sz="8" w:space="0" w:color="000000"/>
              <w:right w:val="single" w:sz="8" w:space="0" w:color="000000"/>
            </w:tcBorders>
            <w:tcMar>
              <w:bottom w:w="28" w:type="dxa"/>
              <w:right w:w="108" w:type="dxa"/>
            </w:tcMar>
            <w:vAlign w:val="center"/>
          </w:tcPr>
          <w:p>
            <w:pPr>
              <w:pStyle w:val="TableContents"/>
              <w:bidi w:val="0"/>
              <w:spacing w:before="0" w:after="283"/>
              <w:jc w:val="center"/>
              <w:rPr>
                <w:sz w:val="20"/>
              </w:rPr>
            </w:pPr>
            <w:r>
              <w:rPr>
                <w:sz w:val="20"/>
              </w:rPr>
              <w:t>FIT 1</w:t>
            </w:r>
          </w:p>
        </w:tc>
        <w:tc>
          <w:tcPr>
            <w:tcW w:w="620" w:type="dxa"/>
            <w:tcBorders>
              <w:bottom w:val="single" w:sz="8" w:space="0" w:color="000000"/>
              <w:right w:val="single" w:sz="8" w:space="0" w:color="000000"/>
            </w:tcBorders>
            <w:tcMar>
              <w:bottom w:w="28" w:type="dxa"/>
              <w:right w:w="108" w:type="dxa"/>
            </w:tcMar>
            <w:vAlign w:val="center"/>
          </w:tcPr>
          <w:p>
            <w:pPr>
              <w:pStyle w:val="TableContents"/>
              <w:bidi w:val="0"/>
              <w:spacing w:before="0" w:after="283"/>
              <w:jc w:val="center"/>
              <w:rPr>
                <w:sz w:val="20"/>
              </w:rPr>
            </w:pPr>
            <w:r>
              <w:rPr>
                <w:sz w:val="20"/>
              </w:rPr>
              <w:t>+195 Bps</w:t>
            </w:r>
          </w:p>
        </w:tc>
        <w:tc>
          <w:tcPr>
            <w:tcW w:w="875" w:type="dxa"/>
            <w:tcBorders>
              <w:bottom w:val="single" w:sz="8" w:space="0" w:color="000000"/>
              <w:right w:val="single" w:sz="8" w:space="0" w:color="000000"/>
            </w:tcBorders>
            <w:tcMar>
              <w:bottom w:w="28" w:type="dxa"/>
              <w:right w:w="108" w:type="dxa"/>
            </w:tcMar>
            <w:vAlign w:val="center"/>
          </w:tcPr>
          <w:p>
            <w:pPr>
              <w:pStyle w:val="TableContents"/>
              <w:bidi w:val="0"/>
              <w:spacing w:before="0" w:after="283"/>
              <w:jc w:val="center"/>
              <w:rPr>
                <w:sz w:val="20"/>
              </w:rPr>
            </w:pPr>
            <w:r>
              <w:rPr>
                <w:sz w:val="20"/>
              </w:rPr>
              <w:t xml:space="preserve">$50.00 </w:t>
            </w:r>
          </w:p>
        </w:tc>
        <w:tc>
          <w:tcPr>
            <w:tcW w:w="1070" w:type="dxa"/>
            <w:tcBorders>
              <w:bottom w:val="single" w:sz="8" w:space="0" w:color="000000"/>
              <w:right w:val="single" w:sz="8" w:space="0" w:color="000000"/>
            </w:tcBorders>
            <w:tcMar>
              <w:bottom w:w="28" w:type="dxa"/>
              <w:right w:w="108" w:type="dxa"/>
            </w:tcMar>
            <w:vAlign w:val="center"/>
          </w:tcPr>
          <w:p>
            <w:pPr>
              <w:pStyle w:val="TableContents"/>
              <w:bidi w:val="0"/>
              <w:spacing w:before="0" w:after="283"/>
              <w:jc w:val="center"/>
              <w:rPr>
                <w:sz w:val="20"/>
              </w:rPr>
            </w:pPr>
            <w:r>
              <w:rPr>
                <w:sz w:val="20"/>
              </w:rPr>
              <w:t>$0.00</w:t>
            </w:r>
          </w:p>
        </w:tc>
      </w:tr>
      <w:tr>
        <w:trPr/>
        <w:tc>
          <w:tcPr>
            <w:tcW w:w="605" w:type="dxa"/>
            <w:vMerge w:val="continue"/>
            <w:tcBorders>
              <w:top w:val="single" w:sz="8" w:space="0" w:color="000000"/>
              <w:left w:val="single" w:sz="8" w:space="0" w:color="000000"/>
              <w:bottom w:val="single" w:sz="8" w:space="0" w:color="000000"/>
              <w:right w:val="single" w:sz="8" w:space="0" w:color="000000"/>
            </w:tcBorders>
            <w:tcMar>
              <w:top w:w="28" w:type="dxa"/>
              <w:left w:w="108" w:type="dxa"/>
              <w:bottom w:w="28" w:type="dxa"/>
              <w:right w:w="108" w:type="dxa"/>
            </w:tcMar>
            <w:vAlign w:val="center"/>
          </w:tcPr>
          <w:p>
            <w:pPr>
              <w:pStyle w:val="Normal"/>
              <w:bidi w:val="0"/>
              <w:jc w:val="left"/>
              <w:rPr/>
            </w:pPr>
            <w:r>
              <w:rPr/>
            </w:r>
          </w:p>
        </w:tc>
        <w:tc>
          <w:tcPr>
            <w:tcW w:w="725" w:type="dxa"/>
            <w:tcBorders>
              <w:bottom w:val="single" w:sz="8" w:space="0" w:color="000000"/>
              <w:right w:val="single" w:sz="8" w:space="0" w:color="000000"/>
            </w:tcBorders>
            <w:tcMar>
              <w:bottom w:w="28" w:type="dxa"/>
              <w:right w:w="108" w:type="dxa"/>
            </w:tcMar>
            <w:vAlign w:val="center"/>
          </w:tcPr>
          <w:p>
            <w:pPr>
              <w:pStyle w:val="TableContents"/>
              <w:bidi w:val="0"/>
              <w:spacing w:before="0" w:after="283"/>
              <w:jc w:val="center"/>
              <w:rPr>
                <w:sz w:val="20"/>
              </w:rPr>
            </w:pPr>
            <w:r>
              <w:rPr>
                <w:sz w:val="20"/>
              </w:rPr>
              <w:t xml:space="preserve">4.800% senior secured notes due 2050 </w:t>
            </w:r>
          </w:p>
        </w:tc>
        <w:tc>
          <w:tcPr>
            <w:tcW w:w="1310" w:type="dxa"/>
            <w:tcBorders>
              <w:bottom w:val="single" w:sz="8" w:space="0" w:color="000000"/>
              <w:right w:val="single" w:sz="8" w:space="0" w:color="000000"/>
            </w:tcBorders>
            <w:tcMar>
              <w:bottom w:w="28" w:type="dxa"/>
              <w:right w:w="108" w:type="dxa"/>
            </w:tcMar>
            <w:vAlign w:val="center"/>
          </w:tcPr>
          <w:p>
            <w:pPr>
              <w:pStyle w:val="TableContents"/>
              <w:bidi w:val="0"/>
              <w:spacing w:before="0" w:after="283"/>
              <w:jc w:val="center"/>
              <w:rPr>
                <w:sz w:val="20"/>
              </w:rPr>
            </w:pPr>
            <w:r>
              <w:rPr>
                <w:sz w:val="20"/>
              </w:rPr>
              <w:t>$2,473,000,000</w:t>
            </w:r>
          </w:p>
        </w:tc>
        <w:tc>
          <w:tcPr>
            <w:tcW w:w="1475" w:type="dxa"/>
            <w:tcBorders>
              <w:bottom w:val="single" w:sz="8" w:space="0" w:color="000000"/>
              <w:right w:val="single" w:sz="8" w:space="0" w:color="000000"/>
            </w:tcBorders>
            <w:tcMar>
              <w:bottom w:w="28" w:type="dxa"/>
              <w:right w:w="108" w:type="dxa"/>
            </w:tcMar>
            <w:vAlign w:val="center"/>
          </w:tcPr>
          <w:p>
            <w:pPr>
              <w:pStyle w:val="TableContents"/>
              <w:bidi w:val="0"/>
              <w:spacing w:before="0" w:after="283"/>
              <w:jc w:val="center"/>
              <w:rPr>
                <w:sz w:val="20"/>
              </w:rPr>
            </w:pPr>
            <w:r>
              <w:rPr>
                <w:sz w:val="20"/>
              </w:rPr>
              <w:t>161175BT0 / US161175BT05</w:t>
            </w:r>
          </w:p>
        </w:tc>
        <w:tc>
          <w:tcPr>
            <w:tcW w:w="980" w:type="dxa"/>
            <w:tcBorders>
              <w:bottom w:val="single" w:sz="8" w:space="0" w:color="000000"/>
              <w:right w:val="single" w:sz="8" w:space="0" w:color="000000"/>
            </w:tcBorders>
            <w:tcMar>
              <w:bottom w:w="28" w:type="dxa"/>
              <w:right w:w="108" w:type="dxa"/>
            </w:tcMar>
            <w:vAlign w:val="center"/>
          </w:tcPr>
          <w:p>
            <w:pPr>
              <w:pStyle w:val="TableContents"/>
              <w:bidi w:val="0"/>
              <w:spacing w:before="0" w:after="283"/>
              <w:jc w:val="center"/>
              <w:rPr>
                <w:sz w:val="20"/>
              </w:rPr>
            </w:pPr>
            <w:r>
              <w:rPr>
                <w:sz w:val="20"/>
              </w:rPr>
              <w:t>3</w:t>
            </w:r>
          </w:p>
        </w:tc>
        <w:tc>
          <w:tcPr>
            <w:tcW w:w="800" w:type="dxa"/>
            <w:tcBorders>
              <w:bottom w:val="single" w:sz="8" w:space="0" w:color="000000"/>
              <w:right w:val="single" w:sz="8" w:space="0" w:color="000000"/>
            </w:tcBorders>
            <w:tcMar>
              <w:bottom w:w="28" w:type="dxa"/>
              <w:right w:w="108" w:type="dxa"/>
            </w:tcMar>
            <w:vAlign w:val="center"/>
          </w:tcPr>
          <w:p>
            <w:pPr>
              <w:pStyle w:val="TableContents"/>
              <w:bidi w:val="0"/>
              <w:spacing w:before="0" w:after="283"/>
              <w:jc w:val="center"/>
              <w:rPr>
                <w:sz w:val="20"/>
              </w:rPr>
            </w:pPr>
            <w:r>
              <w:rPr>
                <w:sz w:val="20"/>
              </w:rPr>
              <w:t>N/A</w:t>
            </w:r>
          </w:p>
        </w:tc>
        <w:tc>
          <w:tcPr>
            <w:tcW w:w="860" w:type="dxa"/>
            <w:tcBorders>
              <w:bottom w:val="single" w:sz="8" w:space="0" w:color="000000"/>
              <w:right w:val="single" w:sz="8" w:space="0" w:color="000000"/>
            </w:tcBorders>
            <w:tcMar>
              <w:bottom w:w="28" w:type="dxa"/>
              <w:right w:w="108" w:type="dxa"/>
            </w:tcMar>
            <w:vAlign w:val="center"/>
          </w:tcPr>
          <w:p>
            <w:pPr>
              <w:pStyle w:val="TableContents"/>
              <w:bidi w:val="0"/>
              <w:spacing w:before="0" w:after="283"/>
              <w:jc w:val="center"/>
              <w:rPr>
                <w:sz w:val="20"/>
              </w:rPr>
            </w:pPr>
            <w:r>
              <w:rPr>
                <w:sz w:val="20"/>
              </w:rPr>
              <w:t>4.750% due February 15, 2056</w:t>
            </w:r>
          </w:p>
        </w:tc>
        <w:tc>
          <w:tcPr>
            <w:tcW w:w="980" w:type="dxa"/>
            <w:tcBorders>
              <w:bottom w:val="single" w:sz="8" w:space="0" w:color="000000"/>
              <w:right w:val="single" w:sz="8" w:space="0" w:color="000000"/>
            </w:tcBorders>
            <w:tcMar>
              <w:bottom w:w="28" w:type="dxa"/>
              <w:right w:w="108" w:type="dxa"/>
            </w:tcMar>
            <w:vAlign w:val="center"/>
          </w:tcPr>
          <w:p>
            <w:pPr>
              <w:pStyle w:val="TableContents"/>
              <w:bidi w:val="0"/>
              <w:spacing w:before="0" w:after="283"/>
              <w:jc w:val="center"/>
              <w:rPr>
                <w:sz w:val="20"/>
              </w:rPr>
            </w:pPr>
            <w:r>
              <w:rPr>
                <w:sz w:val="20"/>
              </w:rPr>
              <w:t>FIT 1</w:t>
            </w:r>
          </w:p>
        </w:tc>
        <w:tc>
          <w:tcPr>
            <w:tcW w:w="620" w:type="dxa"/>
            <w:tcBorders>
              <w:bottom w:val="single" w:sz="8" w:space="0" w:color="000000"/>
              <w:right w:val="single" w:sz="8" w:space="0" w:color="000000"/>
            </w:tcBorders>
            <w:tcMar>
              <w:bottom w:w="28" w:type="dxa"/>
              <w:right w:w="108" w:type="dxa"/>
            </w:tcMar>
            <w:vAlign w:val="center"/>
          </w:tcPr>
          <w:p>
            <w:pPr>
              <w:pStyle w:val="TableContents"/>
              <w:bidi w:val="0"/>
              <w:spacing w:before="0" w:after="283"/>
              <w:jc w:val="center"/>
              <w:rPr>
                <w:sz w:val="20"/>
              </w:rPr>
            </w:pPr>
            <w:r>
              <w:rPr>
                <w:sz w:val="20"/>
              </w:rPr>
              <w:t>+205 Bps</w:t>
            </w:r>
          </w:p>
        </w:tc>
        <w:tc>
          <w:tcPr>
            <w:tcW w:w="875" w:type="dxa"/>
            <w:tcBorders>
              <w:bottom w:val="single" w:sz="8" w:space="0" w:color="000000"/>
              <w:right w:val="single" w:sz="8" w:space="0" w:color="000000"/>
            </w:tcBorders>
            <w:tcMar>
              <w:bottom w:w="28" w:type="dxa"/>
              <w:right w:w="108" w:type="dxa"/>
            </w:tcMar>
            <w:vAlign w:val="center"/>
          </w:tcPr>
          <w:p>
            <w:pPr>
              <w:pStyle w:val="TableContents"/>
              <w:bidi w:val="0"/>
              <w:spacing w:before="0" w:after="283"/>
              <w:jc w:val="center"/>
              <w:rPr>
                <w:sz w:val="20"/>
              </w:rPr>
            </w:pPr>
            <w:r>
              <w:rPr>
                <w:sz w:val="20"/>
              </w:rPr>
              <w:t xml:space="preserve">$50.00 </w:t>
            </w:r>
          </w:p>
        </w:tc>
        <w:tc>
          <w:tcPr>
            <w:tcW w:w="1070" w:type="dxa"/>
            <w:tcBorders>
              <w:bottom w:val="single" w:sz="8" w:space="0" w:color="000000"/>
              <w:right w:val="single" w:sz="8" w:space="0" w:color="000000"/>
            </w:tcBorders>
            <w:tcMar>
              <w:bottom w:w="28" w:type="dxa"/>
              <w:right w:w="108" w:type="dxa"/>
            </w:tcMar>
            <w:vAlign w:val="center"/>
          </w:tcPr>
          <w:p>
            <w:pPr>
              <w:pStyle w:val="TableContents"/>
              <w:bidi w:val="0"/>
              <w:spacing w:before="0" w:after="283"/>
              <w:jc w:val="center"/>
              <w:rPr>
                <w:sz w:val="20"/>
              </w:rPr>
            </w:pPr>
            <w:r>
              <w:rPr>
                <w:sz w:val="20"/>
              </w:rPr>
              <w:t>$117.50</w:t>
            </w:r>
          </w:p>
        </w:tc>
      </w:tr>
      <w:tr>
        <w:trPr/>
        <w:tc>
          <w:tcPr>
            <w:tcW w:w="605" w:type="dxa"/>
            <w:vMerge w:val="continue"/>
            <w:tcBorders>
              <w:top w:val="single" w:sz="8" w:space="0" w:color="000000"/>
              <w:left w:val="single" w:sz="8" w:space="0" w:color="000000"/>
              <w:bottom w:val="single" w:sz="8" w:space="0" w:color="000000"/>
              <w:right w:val="single" w:sz="8" w:space="0" w:color="000000"/>
            </w:tcBorders>
            <w:tcMar>
              <w:top w:w="28" w:type="dxa"/>
              <w:left w:w="108" w:type="dxa"/>
              <w:bottom w:w="28" w:type="dxa"/>
              <w:right w:w="108" w:type="dxa"/>
            </w:tcMar>
            <w:vAlign w:val="center"/>
          </w:tcPr>
          <w:p>
            <w:pPr>
              <w:pStyle w:val="Normal"/>
              <w:bidi w:val="0"/>
              <w:jc w:val="left"/>
              <w:rPr/>
            </w:pPr>
            <w:r>
              <w:rPr/>
            </w:r>
          </w:p>
        </w:tc>
        <w:tc>
          <w:tcPr>
            <w:tcW w:w="725" w:type="dxa"/>
            <w:tcBorders>
              <w:bottom w:val="single" w:sz="8" w:space="0" w:color="000000"/>
              <w:right w:val="single" w:sz="8" w:space="0" w:color="000000"/>
            </w:tcBorders>
            <w:tcMar>
              <w:bottom w:w="28" w:type="dxa"/>
              <w:right w:w="108" w:type="dxa"/>
            </w:tcMar>
            <w:vAlign w:val="center"/>
          </w:tcPr>
          <w:p>
            <w:pPr>
              <w:pStyle w:val="TableContents"/>
              <w:bidi w:val="0"/>
              <w:spacing w:before="0" w:after="283"/>
              <w:jc w:val="center"/>
              <w:rPr>
                <w:sz w:val="20"/>
              </w:rPr>
            </w:pPr>
            <w:r>
              <w:rPr>
                <w:sz w:val="20"/>
              </w:rPr>
              <w:t>5.125% senior secured notes due 2049</w:t>
            </w:r>
          </w:p>
        </w:tc>
        <w:tc>
          <w:tcPr>
            <w:tcW w:w="1310" w:type="dxa"/>
            <w:tcBorders>
              <w:bottom w:val="single" w:sz="8" w:space="0" w:color="000000"/>
              <w:right w:val="single" w:sz="8" w:space="0" w:color="000000"/>
            </w:tcBorders>
            <w:tcMar>
              <w:bottom w:w="28" w:type="dxa"/>
              <w:right w:w="108" w:type="dxa"/>
            </w:tcMar>
            <w:vAlign w:val="center"/>
          </w:tcPr>
          <w:p>
            <w:pPr>
              <w:pStyle w:val="TableContents"/>
              <w:bidi w:val="0"/>
              <w:spacing w:before="0" w:after="283"/>
              <w:jc w:val="center"/>
              <w:rPr>
                <w:sz w:val="20"/>
              </w:rPr>
            </w:pPr>
            <w:r>
              <w:rPr>
                <w:sz w:val="20"/>
              </w:rPr>
              <w:t>$1,244,000,000</w:t>
            </w:r>
          </w:p>
        </w:tc>
        <w:tc>
          <w:tcPr>
            <w:tcW w:w="1475" w:type="dxa"/>
            <w:tcBorders>
              <w:bottom w:val="single" w:sz="8" w:space="0" w:color="000000"/>
              <w:right w:val="single" w:sz="8" w:space="0" w:color="000000"/>
            </w:tcBorders>
            <w:tcMar>
              <w:bottom w:w="28" w:type="dxa"/>
              <w:right w:w="108" w:type="dxa"/>
            </w:tcMar>
            <w:vAlign w:val="center"/>
          </w:tcPr>
          <w:p>
            <w:pPr>
              <w:pStyle w:val="TableContents"/>
              <w:bidi w:val="0"/>
              <w:spacing w:before="0" w:after="283"/>
              <w:jc w:val="center"/>
              <w:rPr>
                <w:sz w:val="20"/>
              </w:rPr>
            </w:pPr>
            <w:r>
              <w:rPr>
                <w:sz w:val="20"/>
              </w:rPr>
              <w:t>161175BS2 / US161175BS22</w:t>
            </w:r>
          </w:p>
        </w:tc>
        <w:tc>
          <w:tcPr>
            <w:tcW w:w="980" w:type="dxa"/>
            <w:tcBorders>
              <w:bottom w:val="single" w:sz="8" w:space="0" w:color="000000"/>
              <w:right w:val="single" w:sz="8" w:space="0" w:color="000000"/>
            </w:tcBorders>
            <w:tcMar>
              <w:bottom w:w="28" w:type="dxa"/>
              <w:right w:w="108" w:type="dxa"/>
            </w:tcMar>
            <w:vAlign w:val="center"/>
          </w:tcPr>
          <w:p>
            <w:pPr>
              <w:pStyle w:val="TableContents"/>
              <w:bidi w:val="0"/>
              <w:spacing w:before="0" w:after="283"/>
              <w:jc w:val="center"/>
              <w:rPr>
                <w:sz w:val="20"/>
              </w:rPr>
            </w:pPr>
            <w:r>
              <w:rPr>
                <w:sz w:val="20"/>
              </w:rPr>
              <w:t>4</w:t>
            </w:r>
          </w:p>
        </w:tc>
        <w:tc>
          <w:tcPr>
            <w:tcW w:w="800" w:type="dxa"/>
            <w:tcBorders>
              <w:bottom w:val="single" w:sz="8" w:space="0" w:color="000000"/>
              <w:right w:val="single" w:sz="8" w:space="0" w:color="000000"/>
            </w:tcBorders>
            <w:tcMar>
              <w:bottom w:w="28" w:type="dxa"/>
              <w:right w:w="108" w:type="dxa"/>
            </w:tcMar>
            <w:vAlign w:val="center"/>
          </w:tcPr>
          <w:p>
            <w:pPr>
              <w:pStyle w:val="TableContents"/>
              <w:bidi w:val="0"/>
              <w:spacing w:before="0" w:after="283"/>
              <w:jc w:val="center"/>
              <w:rPr>
                <w:sz w:val="20"/>
              </w:rPr>
            </w:pPr>
            <w:r>
              <w:rPr>
                <w:sz w:val="20"/>
              </w:rPr>
              <w:t>N/A</w:t>
            </w:r>
          </w:p>
        </w:tc>
        <w:tc>
          <w:tcPr>
            <w:tcW w:w="860" w:type="dxa"/>
            <w:tcBorders>
              <w:bottom w:val="single" w:sz="8" w:space="0" w:color="000000"/>
              <w:right w:val="single" w:sz="8" w:space="0" w:color="000000"/>
            </w:tcBorders>
            <w:tcMar>
              <w:bottom w:w="28" w:type="dxa"/>
              <w:right w:w="108" w:type="dxa"/>
            </w:tcMar>
            <w:vAlign w:val="center"/>
          </w:tcPr>
          <w:p>
            <w:pPr>
              <w:pStyle w:val="TableContents"/>
              <w:bidi w:val="0"/>
              <w:spacing w:before="0" w:after="283"/>
              <w:jc w:val="center"/>
              <w:rPr>
                <w:sz w:val="20"/>
              </w:rPr>
            </w:pPr>
            <w:r>
              <w:rPr>
                <w:sz w:val="20"/>
              </w:rPr>
              <w:t>5.000% due May 15, 2046</w:t>
            </w:r>
          </w:p>
        </w:tc>
        <w:tc>
          <w:tcPr>
            <w:tcW w:w="980" w:type="dxa"/>
            <w:tcBorders>
              <w:bottom w:val="single" w:sz="8" w:space="0" w:color="000000"/>
              <w:right w:val="single" w:sz="8" w:space="0" w:color="000000"/>
            </w:tcBorders>
            <w:tcMar>
              <w:bottom w:w="28" w:type="dxa"/>
              <w:right w:w="108" w:type="dxa"/>
            </w:tcMar>
            <w:vAlign w:val="center"/>
          </w:tcPr>
          <w:p>
            <w:pPr>
              <w:pStyle w:val="TableContents"/>
              <w:bidi w:val="0"/>
              <w:spacing w:before="0" w:after="283"/>
              <w:jc w:val="center"/>
              <w:rPr>
                <w:sz w:val="20"/>
              </w:rPr>
            </w:pPr>
            <w:r>
              <w:rPr>
                <w:sz w:val="20"/>
              </w:rPr>
              <w:t>FIT 1</w:t>
            </w:r>
          </w:p>
        </w:tc>
        <w:tc>
          <w:tcPr>
            <w:tcW w:w="620" w:type="dxa"/>
            <w:tcBorders>
              <w:bottom w:val="single" w:sz="8" w:space="0" w:color="000000"/>
              <w:right w:val="single" w:sz="8" w:space="0" w:color="000000"/>
            </w:tcBorders>
            <w:tcMar>
              <w:bottom w:w="28" w:type="dxa"/>
              <w:right w:w="108" w:type="dxa"/>
            </w:tcMar>
            <w:vAlign w:val="center"/>
          </w:tcPr>
          <w:p>
            <w:pPr>
              <w:pStyle w:val="TableContents"/>
              <w:bidi w:val="0"/>
              <w:spacing w:before="0" w:after="283"/>
              <w:jc w:val="center"/>
              <w:rPr>
                <w:sz w:val="20"/>
              </w:rPr>
            </w:pPr>
            <w:r>
              <w:rPr>
                <w:sz w:val="20"/>
              </w:rPr>
              <w:t>+220 Bps</w:t>
            </w:r>
          </w:p>
        </w:tc>
        <w:tc>
          <w:tcPr>
            <w:tcW w:w="875" w:type="dxa"/>
            <w:tcBorders>
              <w:bottom w:val="single" w:sz="8" w:space="0" w:color="000000"/>
              <w:right w:val="single" w:sz="8" w:space="0" w:color="000000"/>
            </w:tcBorders>
            <w:tcMar>
              <w:bottom w:w="28" w:type="dxa"/>
              <w:right w:w="108" w:type="dxa"/>
            </w:tcMar>
            <w:vAlign w:val="center"/>
          </w:tcPr>
          <w:p>
            <w:pPr>
              <w:pStyle w:val="TableContents"/>
              <w:bidi w:val="0"/>
              <w:spacing w:before="0" w:after="283"/>
              <w:jc w:val="center"/>
              <w:rPr>
                <w:sz w:val="20"/>
              </w:rPr>
            </w:pPr>
            <w:r>
              <w:rPr>
                <w:sz w:val="20"/>
              </w:rPr>
              <w:t xml:space="preserve">$50.00 </w:t>
            </w:r>
          </w:p>
        </w:tc>
        <w:tc>
          <w:tcPr>
            <w:tcW w:w="1070" w:type="dxa"/>
            <w:tcBorders>
              <w:bottom w:val="single" w:sz="8" w:space="0" w:color="000000"/>
              <w:right w:val="single" w:sz="8" w:space="0" w:color="000000"/>
            </w:tcBorders>
            <w:tcMar>
              <w:bottom w:w="28" w:type="dxa"/>
              <w:right w:w="108" w:type="dxa"/>
            </w:tcMar>
            <w:vAlign w:val="center"/>
          </w:tcPr>
          <w:p>
            <w:pPr>
              <w:pStyle w:val="TableContents"/>
              <w:bidi w:val="0"/>
              <w:spacing w:before="0" w:after="283"/>
              <w:jc w:val="center"/>
              <w:rPr>
                <w:sz w:val="20"/>
              </w:rPr>
            </w:pPr>
            <w:r>
              <w:rPr>
                <w:sz w:val="20"/>
              </w:rPr>
              <w:t>$150.00</w:t>
            </w:r>
          </w:p>
        </w:tc>
      </w:tr>
      <w:tr>
        <w:trPr/>
        <w:tc>
          <w:tcPr>
            <w:tcW w:w="605" w:type="dxa"/>
            <w:vMerge w:val="continue"/>
            <w:tcBorders>
              <w:top w:val="single" w:sz="8" w:space="0" w:color="000000"/>
              <w:left w:val="single" w:sz="8" w:space="0" w:color="000000"/>
              <w:bottom w:val="single" w:sz="8" w:space="0" w:color="000000"/>
              <w:right w:val="single" w:sz="8" w:space="0" w:color="000000"/>
            </w:tcBorders>
            <w:tcMar>
              <w:top w:w="28" w:type="dxa"/>
              <w:left w:w="108" w:type="dxa"/>
              <w:bottom w:w="28" w:type="dxa"/>
              <w:right w:w="108" w:type="dxa"/>
            </w:tcMar>
            <w:vAlign w:val="center"/>
          </w:tcPr>
          <w:p>
            <w:pPr>
              <w:pStyle w:val="Normal"/>
              <w:bidi w:val="0"/>
              <w:jc w:val="left"/>
              <w:rPr/>
            </w:pPr>
            <w:r>
              <w:rPr/>
            </w:r>
          </w:p>
        </w:tc>
        <w:tc>
          <w:tcPr>
            <w:tcW w:w="725" w:type="dxa"/>
            <w:tcBorders>
              <w:bottom w:val="single" w:sz="8" w:space="0" w:color="000000"/>
              <w:right w:val="single" w:sz="8" w:space="0" w:color="000000"/>
            </w:tcBorders>
            <w:tcMar>
              <w:bottom w:w="28" w:type="dxa"/>
              <w:right w:w="108" w:type="dxa"/>
            </w:tcMar>
            <w:vAlign w:val="center"/>
          </w:tcPr>
          <w:p>
            <w:pPr>
              <w:pStyle w:val="TableContents"/>
              <w:bidi w:val="0"/>
              <w:spacing w:before="0" w:after="283"/>
              <w:jc w:val="center"/>
              <w:rPr>
                <w:sz w:val="20"/>
              </w:rPr>
            </w:pPr>
            <w:r>
              <w:rPr>
                <w:sz w:val="20"/>
              </w:rPr>
              <w:t>5.250% senior secured notes due 2053</w:t>
            </w:r>
          </w:p>
        </w:tc>
        <w:tc>
          <w:tcPr>
            <w:tcW w:w="1310" w:type="dxa"/>
            <w:tcBorders>
              <w:bottom w:val="single" w:sz="8" w:space="0" w:color="000000"/>
              <w:right w:val="single" w:sz="8" w:space="0" w:color="000000"/>
            </w:tcBorders>
            <w:tcMar>
              <w:bottom w:w="28" w:type="dxa"/>
              <w:right w:w="108" w:type="dxa"/>
            </w:tcMar>
            <w:vAlign w:val="center"/>
          </w:tcPr>
          <w:p>
            <w:pPr>
              <w:pStyle w:val="TableContents"/>
              <w:bidi w:val="0"/>
              <w:spacing w:before="0" w:after="283"/>
              <w:jc w:val="center"/>
              <w:rPr>
                <w:sz w:val="20"/>
              </w:rPr>
            </w:pPr>
            <w:r>
              <w:rPr>
                <w:sz w:val="20"/>
              </w:rPr>
              <w:t>$1,500,000,000</w:t>
            </w:r>
          </w:p>
        </w:tc>
        <w:tc>
          <w:tcPr>
            <w:tcW w:w="1475" w:type="dxa"/>
            <w:tcBorders>
              <w:bottom w:val="single" w:sz="8" w:space="0" w:color="000000"/>
              <w:right w:val="single" w:sz="8" w:space="0" w:color="000000"/>
            </w:tcBorders>
            <w:tcMar>
              <w:bottom w:w="28" w:type="dxa"/>
              <w:right w:w="108" w:type="dxa"/>
            </w:tcMar>
            <w:vAlign w:val="center"/>
          </w:tcPr>
          <w:p>
            <w:pPr>
              <w:pStyle w:val="TableContents"/>
              <w:bidi w:val="0"/>
              <w:spacing w:before="0" w:after="283"/>
              <w:jc w:val="center"/>
              <w:rPr>
                <w:sz w:val="20"/>
              </w:rPr>
            </w:pPr>
            <w:r>
              <w:rPr>
                <w:sz w:val="20"/>
              </w:rPr>
              <w:t>161175CK8 / US161175CK86</w:t>
            </w:r>
          </w:p>
        </w:tc>
        <w:tc>
          <w:tcPr>
            <w:tcW w:w="980" w:type="dxa"/>
            <w:tcBorders>
              <w:bottom w:val="single" w:sz="8" w:space="0" w:color="000000"/>
              <w:right w:val="single" w:sz="8" w:space="0" w:color="000000"/>
            </w:tcBorders>
            <w:tcMar>
              <w:bottom w:w="28" w:type="dxa"/>
              <w:right w:w="108" w:type="dxa"/>
            </w:tcMar>
            <w:vAlign w:val="center"/>
          </w:tcPr>
          <w:p>
            <w:pPr>
              <w:pStyle w:val="TableContents"/>
              <w:bidi w:val="0"/>
              <w:spacing w:before="0" w:after="283"/>
              <w:jc w:val="center"/>
              <w:rPr>
                <w:sz w:val="20"/>
              </w:rPr>
            </w:pPr>
            <w:r>
              <w:rPr>
                <w:sz w:val="20"/>
              </w:rPr>
              <w:t>5</w:t>
            </w:r>
          </w:p>
        </w:tc>
        <w:tc>
          <w:tcPr>
            <w:tcW w:w="800" w:type="dxa"/>
            <w:tcBorders>
              <w:bottom w:val="single" w:sz="8" w:space="0" w:color="000000"/>
              <w:right w:val="single" w:sz="8" w:space="0" w:color="000000"/>
            </w:tcBorders>
            <w:tcMar>
              <w:bottom w:w="28" w:type="dxa"/>
              <w:right w:w="108" w:type="dxa"/>
            </w:tcMar>
            <w:vAlign w:val="center"/>
          </w:tcPr>
          <w:p>
            <w:pPr>
              <w:pStyle w:val="TableContents"/>
              <w:bidi w:val="0"/>
              <w:spacing w:before="0" w:after="283"/>
              <w:jc w:val="center"/>
              <w:rPr>
                <w:sz w:val="20"/>
              </w:rPr>
            </w:pPr>
            <w:r>
              <w:rPr>
                <w:sz w:val="20"/>
              </w:rPr>
              <w:t>N/A</w:t>
            </w:r>
          </w:p>
        </w:tc>
        <w:tc>
          <w:tcPr>
            <w:tcW w:w="860" w:type="dxa"/>
            <w:tcBorders>
              <w:bottom w:val="single" w:sz="8" w:space="0" w:color="000000"/>
              <w:right w:val="single" w:sz="8" w:space="0" w:color="000000"/>
            </w:tcBorders>
            <w:tcMar>
              <w:bottom w:w="28" w:type="dxa"/>
              <w:right w:w="108" w:type="dxa"/>
            </w:tcMar>
            <w:vAlign w:val="center"/>
          </w:tcPr>
          <w:p>
            <w:pPr>
              <w:pStyle w:val="TableContents"/>
              <w:bidi w:val="0"/>
              <w:spacing w:before="0" w:after="283"/>
              <w:jc w:val="center"/>
              <w:rPr>
                <w:sz w:val="20"/>
              </w:rPr>
            </w:pPr>
            <w:r>
              <w:rPr>
                <w:sz w:val="20"/>
              </w:rPr>
              <w:t>4.750% due February 15, 2056</w:t>
            </w:r>
          </w:p>
        </w:tc>
        <w:tc>
          <w:tcPr>
            <w:tcW w:w="980" w:type="dxa"/>
            <w:tcBorders>
              <w:bottom w:val="single" w:sz="8" w:space="0" w:color="000000"/>
              <w:right w:val="single" w:sz="8" w:space="0" w:color="000000"/>
            </w:tcBorders>
            <w:tcMar>
              <w:bottom w:w="28" w:type="dxa"/>
              <w:right w:w="108" w:type="dxa"/>
            </w:tcMar>
            <w:vAlign w:val="center"/>
          </w:tcPr>
          <w:p>
            <w:pPr>
              <w:pStyle w:val="TableContents"/>
              <w:bidi w:val="0"/>
              <w:spacing w:before="0" w:after="283"/>
              <w:jc w:val="center"/>
              <w:rPr>
                <w:sz w:val="20"/>
              </w:rPr>
            </w:pPr>
            <w:r>
              <w:rPr>
                <w:sz w:val="20"/>
              </w:rPr>
              <w:t>FIT 1</w:t>
            </w:r>
          </w:p>
        </w:tc>
        <w:tc>
          <w:tcPr>
            <w:tcW w:w="620" w:type="dxa"/>
            <w:tcBorders>
              <w:bottom w:val="single" w:sz="8" w:space="0" w:color="000000"/>
              <w:right w:val="single" w:sz="8" w:space="0" w:color="000000"/>
            </w:tcBorders>
            <w:tcMar>
              <w:bottom w:w="28" w:type="dxa"/>
              <w:right w:w="108" w:type="dxa"/>
            </w:tcMar>
            <w:vAlign w:val="center"/>
          </w:tcPr>
          <w:p>
            <w:pPr>
              <w:pStyle w:val="TableContents"/>
              <w:bidi w:val="0"/>
              <w:spacing w:before="0" w:after="283"/>
              <w:jc w:val="center"/>
              <w:rPr>
                <w:sz w:val="20"/>
              </w:rPr>
            </w:pPr>
            <w:r>
              <w:rPr>
                <w:sz w:val="20"/>
              </w:rPr>
              <w:t>+210 Bps</w:t>
            </w:r>
          </w:p>
        </w:tc>
        <w:tc>
          <w:tcPr>
            <w:tcW w:w="875" w:type="dxa"/>
            <w:tcBorders>
              <w:bottom w:val="single" w:sz="8" w:space="0" w:color="000000"/>
              <w:right w:val="single" w:sz="8" w:space="0" w:color="000000"/>
            </w:tcBorders>
            <w:tcMar>
              <w:bottom w:w="28" w:type="dxa"/>
              <w:right w:w="108" w:type="dxa"/>
            </w:tcMar>
            <w:vAlign w:val="center"/>
          </w:tcPr>
          <w:p>
            <w:pPr>
              <w:pStyle w:val="TableContents"/>
              <w:bidi w:val="0"/>
              <w:spacing w:before="0" w:after="283"/>
              <w:jc w:val="center"/>
              <w:rPr>
                <w:sz w:val="20"/>
              </w:rPr>
            </w:pPr>
            <w:r>
              <w:rPr>
                <w:sz w:val="20"/>
              </w:rPr>
              <w:t xml:space="preserve">$50.00 </w:t>
            </w:r>
          </w:p>
        </w:tc>
        <w:tc>
          <w:tcPr>
            <w:tcW w:w="1070" w:type="dxa"/>
            <w:tcBorders>
              <w:bottom w:val="single" w:sz="8" w:space="0" w:color="000000"/>
              <w:right w:val="single" w:sz="8" w:space="0" w:color="000000"/>
            </w:tcBorders>
            <w:tcMar>
              <w:bottom w:w="28" w:type="dxa"/>
              <w:right w:w="108" w:type="dxa"/>
            </w:tcMar>
            <w:vAlign w:val="center"/>
          </w:tcPr>
          <w:p>
            <w:pPr>
              <w:pStyle w:val="TableContents"/>
              <w:bidi w:val="0"/>
              <w:spacing w:before="0" w:after="283"/>
              <w:jc w:val="center"/>
              <w:rPr>
                <w:sz w:val="20"/>
              </w:rPr>
            </w:pPr>
            <w:r>
              <w:rPr>
                <w:sz w:val="20"/>
              </w:rPr>
              <w:t>$190.00</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0" w:right="0" w:hanging="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7"/>
        <w:gridCol w:w="246"/>
        <w:gridCol w:w="9922"/>
      </w:tblGrid>
      <w:tr>
        <w:trPr/>
        <w:tc>
          <w:tcPr>
            <w:tcW w:w="3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pPr>
            <w:r>
              <w:rPr/>
              <w:t>(1)</w:t>
            </w:r>
          </w:p>
        </w:tc>
        <w:tc>
          <w:tcPr>
            <w:tcW w:w="9922" w:type="dxa"/>
            <w:tcBorders/>
            <w:vAlign w:val="center"/>
          </w:tcPr>
          <w:p>
            <w:pPr>
              <w:pStyle w:val="TableContents"/>
              <w:bidi w:val="0"/>
              <w:spacing w:before="0" w:after="283"/>
              <w:jc w:val="both"/>
              <w:rPr/>
            </w:pPr>
            <w:r>
              <w:rPr/>
              <w:t>No representation is made as to the correctness or accuracy of the CUSIP or ISIN numbers listed in the Offering Memorandum. Such CUSIP and ISIN numbers are provided solely for the convenience of the holders of Pool 2 Notes.</w:t>
            </w:r>
          </w:p>
        </w:tc>
      </w:tr>
    </w:tbl>
    <w:tbl>
      <w:tblPr>
        <w:tblW w:w="5000" w:type="pct"/>
        <w:jc w:val="left"/>
        <w:tblInd w:w="0" w:type="dxa"/>
        <w:tblLayout w:type="fixed"/>
        <w:tblCellMar>
          <w:top w:w="0" w:type="dxa"/>
          <w:left w:w="0" w:type="dxa"/>
          <w:bottom w:w="0" w:type="dxa"/>
          <w:right w:w="0" w:type="dxa"/>
        </w:tblCellMar>
      </w:tblPr>
      <w:tblGrid>
        <w:gridCol w:w="37"/>
        <w:gridCol w:w="236"/>
        <w:gridCol w:w="9932"/>
      </w:tblGrid>
      <w:tr>
        <w:trPr/>
        <w:tc>
          <w:tcPr>
            <w:tcW w:w="37"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pPr>
            <w:r>
              <w:rPr/>
              <w:t>(2)</w:t>
            </w:r>
          </w:p>
        </w:tc>
        <w:tc>
          <w:tcPr>
            <w:tcW w:w="9932" w:type="dxa"/>
            <w:tcBorders/>
            <w:vAlign w:val="center"/>
          </w:tcPr>
          <w:p>
            <w:pPr>
              <w:pStyle w:val="TableContents"/>
              <w:bidi w:val="0"/>
              <w:spacing w:before="0" w:after="283"/>
              <w:jc w:val="both"/>
              <w:rPr/>
            </w:pPr>
            <w:r>
              <w:rPr/>
              <w:t>Subject to the New 2041 Notes Cap and, the principal amount of each series of Pool 2 Notes that is purchased in the Pool 2 Offer will be determined in accordance with the applicable Acceptance Priority Level (in numerical priority order with 1 being the highest Acceptance Priority Level and 5 being the lowest) specified in this column.</w:t>
            </w:r>
          </w:p>
        </w:tc>
      </w:tr>
    </w:tbl>
    <w:tbl>
      <w:tblPr>
        <w:tblW w:w="5000" w:type="pct"/>
        <w:jc w:val="left"/>
        <w:tblInd w:w="0" w:type="dxa"/>
        <w:tblLayout w:type="fixed"/>
        <w:tblCellMar>
          <w:top w:w="0" w:type="dxa"/>
          <w:left w:w="0" w:type="dxa"/>
          <w:bottom w:w="0" w:type="dxa"/>
          <w:right w:w="0" w:type="dxa"/>
        </w:tblCellMar>
      </w:tblPr>
      <w:tblGrid>
        <w:gridCol w:w="37"/>
        <w:gridCol w:w="237"/>
        <w:gridCol w:w="9931"/>
      </w:tblGrid>
      <w:tr>
        <w:trPr/>
        <w:tc>
          <w:tcPr>
            <w:tcW w:w="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pPr>
            <w:r>
              <w:rPr/>
              <w:t>(3)</w:t>
            </w:r>
          </w:p>
        </w:tc>
        <w:tc>
          <w:tcPr>
            <w:tcW w:w="9931" w:type="dxa"/>
            <w:tcBorders/>
            <w:vAlign w:val="center"/>
          </w:tcPr>
          <w:p>
            <w:pPr>
              <w:pStyle w:val="TableContents"/>
              <w:bidi w:val="0"/>
              <w:spacing w:before="0" w:after="283"/>
              <w:jc w:val="both"/>
              <w:rPr/>
            </w:pPr>
            <w:r>
              <w:rPr/>
              <w:t>The Bloomberg Reference Page/Screen is provided for convenience only. To the extent any Bloomberg Reference Page/Screen changes prior to the Pricing Time, the Joint-Lead Dealer Managers referred to below will quote the applicable Reference Treasury Security from the updated Bloomberg Reference Page/Screen.</w:t>
            </w:r>
          </w:p>
        </w:tc>
      </w:tr>
    </w:tbl>
    <w:tbl>
      <w:tblPr>
        <w:tblW w:w="5000" w:type="pct"/>
        <w:jc w:val="left"/>
        <w:tblInd w:w="0" w:type="dxa"/>
        <w:tblLayout w:type="fixed"/>
        <w:tblCellMar>
          <w:top w:w="0" w:type="dxa"/>
          <w:left w:w="0" w:type="dxa"/>
          <w:bottom w:w="0" w:type="dxa"/>
          <w:right w:w="0" w:type="dxa"/>
        </w:tblCellMar>
      </w:tblPr>
      <w:tblGrid>
        <w:gridCol w:w="37"/>
        <w:gridCol w:w="245"/>
        <w:gridCol w:w="9923"/>
      </w:tblGrid>
      <w:tr>
        <w:trPr/>
        <w:tc>
          <w:tcPr>
            <w:tcW w:w="37"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pPr>
            <w:r>
              <w:rPr/>
              <w:t>(4)</w:t>
            </w:r>
          </w:p>
        </w:tc>
        <w:tc>
          <w:tcPr>
            <w:tcW w:w="9923" w:type="dxa"/>
            <w:tcBorders/>
            <w:vAlign w:val="center"/>
          </w:tcPr>
          <w:p>
            <w:pPr>
              <w:pStyle w:val="TableContents"/>
              <w:bidi w:val="0"/>
              <w:spacing w:before="0" w:after="283"/>
              <w:jc w:val="both"/>
              <w:rPr/>
            </w:pPr>
            <w:r>
              <w:rPr/>
              <w:t>Per $1,000 principal amount of the Pool 2 Notes validly tendered prior to or at the Early Tender Date (and not validly withdrawn at or prior to the Withdrawal Deadline) and accepted for exchange, to be paid in the form of New 2041 Notes.</w:t>
            </w:r>
          </w:p>
        </w:tc>
      </w:tr>
    </w:tbl>
    <w:tbl>
      <w:tblPr>
        <w:tblW w:w="5000" w:type="pct"/>
        <w:jc w:val="left"/>
        <w:tblInd w:w="0" w:type="dxa"/>
        <w:tblLayout w:type="fixed"/>
        <w:tblCellMar>
          <w:top w:w="0" w:type="dxa"/>
          <w:left w:w="0" w:type="dxa"/>
          <w:bottom w:w="0" w:type="dxa"/>
          <w:right w:w="0" w:type="dxa"/>
        </w:tblCellMar>
      </w:tblPr>
      <w:tblGrid>
        <w:gridCol w:w="37"/>
        <w:gridCol w:w="244"/>
        <w:gridCol w:w="9924"/>
      </w:tblGrid>
      <w:tr>
        <w:trPr/>
        <w:tc>
          <w:tcPr>
            <w:tcW w:w="3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pPr>
            <w:r>
              <w:rPr/>
              <w:t>(5)</w:t>
            </w:r>
          </w:p>
        </w:tc>
        <w:tc>
          <w:tcPr>
            <w:tcW w:w="9924" w:type="dxa"/>
            <w:tcBorders/>
            <w:vAlign w:val="center"/>
          </w:tcPr>
          <w:p>
            <w:pPr>
              <w:pStyle w:val="TableContents"/>
              <w:bidi w:val="0"/>
              <w:spacing w:before="0" w:after="283"/>
              <w:jc w:val="both"/>
              <w:rPr/>
            </w:pPr>
            <w:r>
              <w:rPr/>
              <w:t>The Total Exchange Consideration for the Pool 2 Notes validly tendered prior to or at the Early Tender Date (and not validly withdrawn at or prior to the Withdrawal Deadline) and accepted for exchange is inclusive of the Early Exchange Premium.</w:t>
            </w:r>
          </w:p>
        </w:tc>
      </w:tr>
    </w:tbl>
    <w:tbl>
      <w:tblPr>
        <w:tblW w:w="5000" w:type="pct"/>
        <w:jc w:val="left"/>
        <w:tblInd w:w="0" w:type="dxa"/>
        <w:tblLayout w:type="fixed"/>
        <w:tblCellMar>
          <w:top w:w="0" w:type="dxa"/>
          <w:left w:w="0" w:type="dxa"/>
          <w:bottom w:w="0" w:type="dxa"/>
          <w:right w:w="0" w:type="dxa"/>
        </w:tblCellMar>
      </w:tblPr>
      <w:tblGrid>
        <w:gridCol w:w="37"/>
        <w:gridCol w:w="242"/>
        <w:gridCol w:w="9926"/>
      </w:tblGrid>
      <w:tr>
        <w:trPr/>
        <w:tc>
          <w:tcPr>
            <w:tcW w:w="37"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pPr>
            <w:r>
              <w:rPr/>
              <w:t>(6)</w:t>
            </w:r>
          </w:p>
        </w:tc>
        <w:tc>
          <w:tcPr>
            <w:tcW w:w="9926" w:type="dxa"/>
            <w:tcBorders/>
            <w:vAlign w:val="center"/>
          </w:tcPr>
          <w:p>
            <w:pPr>
              <w:pStyle w:val="TableContents"/>
              <w:bidi w:val="0"/>
              <w:spacing w:before="0" w:after="283"/>
              <w:jc w:val="both"/>
              <w:rPr/>
            </w:pPr>
            <w:r>
              <w:rPr/>
              <w:t>Represents the portion of the Total Exchange Consideration or the Base Exchange Consideration in each case for the Pool 2 Notes, as applicable, that will be payable in cash per $1,000 principal amount of Pool 2 Notes validly tendered and accepted for exchange.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Eligible Holders (as defined below) of Old Notes who validly tendered at or prior to the Early Tender Date (and not validly withdrawn at or prior to the Withdrawal Deadline), and whose Old Notes are accepted pursuant to the terms of the applicable Exchange Offers, will receive the Total Exchange Consideration. The Total Exchange Consideration (which includes the Early Exchange Premium) for each $1,000 principal amount of Old Notes validly tendered at or prior to the Early Tender Date (and not validly withdrawn at or prior to the Withdrawal Deadline) and accepted for exchange pursuant to the terms of the applicable Exchange Offers will be divided into (i) a cash payment equal to the applicable Cash Component and (ii) a principal amount of the applicable series of New Notes equal to the Total Exchange Consideration of the series of outstanding Old Notes tendered minus such Cash Component. The “Total Exchange Consideration” for each $1,000 principal amount of Old Notes validly tendered at or prior to the Early Tender Date (as defined below) (and not validly withdrawn at or prior to the Withdrawal Deadline) and accepted for exchange pursuant to the terms of the applicable Exchange Offers will be determined in accordance with standard market practice, as described in the Offering Memorandum using the applicable “Exchange Offer Yield,” which will be equal to the sum of (i) the yield to maturity (the “Reference Yield”) based on the bid side price of the U.S. Treasury Security (the “Reference U.S. Treasury Security”) specified on the tables above for each series of Old Notes, as calculated by the Joint-Lead Dealer Managers (as defined below) at 10:00 a.m., New York City time, on August 6, 2026 (subject to certain exceptions set forth herein, such time and date, as the same may be extended, the “Pricing Time”) appearing on the Bloomberg Reference Page specified on the front cover of the Offering Memorandum for such series of Old Notes (or any other recognized quotation source selected by the Joint-Lead Dealer Managers in their sole discretion if such quotation report is not available or manifestly erroneous), plus (ii) the applicable fixed spread (the “Fixed Spread”) specified for each series of Old Notes in the tables above. The Total Exchange Consideration will include the Early Exchange Premium.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sz w:val="20"/>
          <w:bdr w:val="single" w:sz="8" w:space="1" w:color="000000"/>
        </w:rPr>
      </w:pPr>
      <w:r>
        <w:rPr>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New 2038 Notes will bear interest at a rate per annum to be determined as of the Pricing Time, as the sum of (a) the bid-side yield on the 4.375% U.S. Treasury Notes due May 15, 2036 (the “</w:t>
      </w:r>
      <w:r>
        <w:rPr>
          <w:rFonts w:ascii="Times New Roman;Times;Serif" w:hAnsi="Times New Roman;Times;Serif"/>
          <w:b/>
          <w:i w:val="false"/>
          <w:caps w:val="false"/>
          <w:smallCaps w:val="false"/>
          <w:sz w:val="20"/>
        </w:rPr>
        <w:t>Benchmark Security</w:t>
      </w:r>
      <w:r>
        <w:rPr>
          <w:rFonts w:ascii="Times New Roman;Times;Serif" w:hAnsi="Times New Roman;Times;Serif"/>
          <w:b w:val="false"/>
          <w:i w:val="false"/>
          <w:caps w:val="false"/>
          <w:smallCaps w:val="false"/>
          <w:sz w:val="20"/>
        </w:rPr>
        <w:t>”), as calculated by the Joint-Lead Dealer Managers in accordance with standard market practice, as of the Pricing Time as displayed on the Bloomberg Reference Page FIT 1 (or any recognized quotation source selected by the Joint-Lead Dealer Managers in their sole discretion if the Bloomberg Reference Page FIT 1 is not available or is manifestly erroneous), plus (b) 2.450%, rounded to the nearest 0.001%, such that the New 2038 Notes will be issued at par. The New 2041 Notes will bear interest at a rate per annum to be determined as of the Pricing Time, as the sum of (a) the bid-side yield on the Benchmark Security, as calculated by the Joint-Lead Dealer Managers in accordance with standard market practice, as of the Pricing Time as displayed on the Bloomberg Reference Page FIT 1 (or any recognized quotation source selected by the Joint-Lead Dealer Managers in their sole discretion if the Bloomberg Reference Page FIT 1 is not available or is manifestly erroneous), plus (b) 2.700%, rounded to the nearest 0.001%, such that the New 2041 Notes will be issued at par.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Set forth below is a table summarizing certain material terms of the New Notes:</w:t>
      </w:r>
    </w:p>
    <w:p>
      <w:pPr>
        <w:pStyle w:val="TextBody"/>
        <w:bidi w:val="0"/>
        <w:spacing w:before="0" w:after="0"/>
        <w:ind w:left="0" w:right="0" w:firstLine="720"/>
        <w:jc w:val="both"/>
        <w:rPr>
          <w:caps w:val="false"/>
          <w:smallCaps w:val="false"/>
        </w:rPr>
      </w:pPr>
      <w:r>
        <w:rPr>
          <w:caps w:val="false"/>
          <w:smallCaps w:val="false"/>
        </w:rPr>
        <w:t> </w:t>
      </w:r>
    </w:p>
    <w:tbl>
      <w:tblPr>
        <w:tblW w:w="8750" w:type="dxa"/>
        <w:jc w:val="left"/>
        <w:tblInd w:w="-10" w:type="dxa"/>
        <w:tblLayout w:type="fixed"/>
        <w:tblCellMar>
          <w:top w:w="40" w:type="dxa"/>
          <w:left w:w="108" w:type="dxa"/>
          <w:bottom w:w="28" w:type="dxa"/>
          <w:right w:w="108" w:type="dxa"/>
        </w:tblCellMar>
      </w:tblPr>
      <w:tblGrid>
        <w:gridCol w:w="1655"/>
        <w:gridCol w:w="1865"/>
        <w:gridCol w:w="3080"/>
        <w:gridCol w:w="2150"/>
      </w:tblGrid>
      <w:tr>
        <w:trPr/>
        <w:tc>
          <w:tcPr>
            <w:tcW w:w="165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u w:val="single"/>
              </w:rPr>
            </w:pPr>
            <w:r>
              <w:rPr>
                <w:u w:val="single"/>
              </w:rPr>
              <w:t>Title of Series</w:t>
            </w:r>
          </w:p>
        </w:tc>
        <w:tc>
          <w:tcPr>
            <w:tcW w:w="186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u w:val="single"/>
              </w:rPr>
            </w:pPr>
            <w:r>
              <w:rPr>
                <w:u w:val="single"/>
              </w:rPr>
              <w:t>Maturity Date</w:t>
            </w:r>
          </w:p>
        </w:tc>
        <w:tc>
          <w:tcPr>
            <w:tcW w:w="308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u w:val="single"/>
              </w:rPr>
            </w:pPr>
            <w:r>
              <w:rPr>
                <w:u w:val="single"/>
              </w:rPr>
              <w:t>Benchmark Security</w:t>
            </w:r>
          </w:p>
        </w:tc>
        <w:tc>
          <w:tcPr>
            <w:tcW w:w="215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u w:val="single"/>
              </w:rPr>
            </w:pPr>
            <w:r>
              <w:rPr>
                <w:u w:val="single"/>
              </w:rPr>
              <w:t xml:space="preserve">Spread to Benchmark </w:t>
              <w:br/>
              <w:t>Security (bps)</w:t>
            </w:r>
          </w:p>
        </w:tc>
      </w:tr>
      <w:tr>
        <w:trPr/>
        <w:tc>
          <w:tcPr>
            <w:tcW w:w="165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New 2038 Notes</w:t>
            </w:r>
          </w:p>
        </w:tc>
        <w:tc>
          <w:tcPr>
            <w:tcW w:w="186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September 1, 2038</w:t>
            </w:r>
          </w:p>
        </w:tc>
        <w:tc>
          <w:tcPr>
            <w:tcW w:w="30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4.375% UST due May 15, 2036</w:t>
            </w:r>
          </w:p>
        </w:tc>
        <w:tc>
          <w:tcPr>
            <w:tcW w:w="21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245</w:t>
            </w:r>
          </w:p>
        </w:tc>
      </w:tr>
      <w:tr>
        <w:trPr/>
        <w:tc>
          <w:tcPr>
            <w:tcW w:w="165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New 2041 Notes</w:t>
            </w:r>
          </w:p>
        </w:tc>
        <w:tc>
          <w:tcPr>
            <w:tcW w:w="186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xml:space="preserve">September 1, 2041 </w:t>
            </w:r>
          </w:p>
        </w:tc>
        <w:tc>
          <w:tcPr>
            <w:tcW w:w="30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4.375% UST due May 15, 2036</w:t>
            </w:r>
          </w:p>
        </w:tc>
        <w:tc>
          <w:tcPr>
            <w:tcW w:w="21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270</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Eligible Holders of Old Notes who validly tendered after the Early Tender Date but on or prior to the Expiration Date, and whose Old Notes are accepted pursuant to the terms of the applicable Exchange Offers, will receive the Base Exchange Consideration. The Base Exchange Consideration for each series of Old Notes validly tendered and accepted for exchange pursuant to the Exchange Offers will equal the Total Exchange Consideration for such series of Old Notes </w:t>
      </w:r>
      <w:r>
        <w:rPr>
          <w:rFonts w:ascii="Times New Roman;Times;Serif" w:hAnsi="Times New Roman;Times;Serif"/>
          <w:b w:val="false"/>
          <w:i/>
          <w:caps w:val="false"/>
          <w:smallCaps w:val="false"/>
          <w:sz w:val="20"/>
        </w:rPr>
        <w:t>minus</w:t>
      </w:r>
      <w:r>
        <w:rPr>
          <w:rFonts w:ascii="Times New Roman;Times;Serif" w:hAnsi="Times New Roman;Times;Serif"/>
          <w:b w:val="false"/>
          <w:i w:val="false"/>
          <w:caps w:val="false"/>
          <w:smallCaps w:val="false"/>
          <w:sz w:val="20"/>
        </w:rPr>
        <w:t xml:space="preserve"> the applicable Early Exchange Premium for such series of Old Notes.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addition, Eligible Holders of Old Notes who validly tendered their Old Notes on or prior to the Expiration Date, and whose Old Notes are accepted pursuant to the terms of the applicable Exchange Offers, will receive in cash accrued and unpaid interest from the last applicable interest payment date to, but excluding, the date on which the exchange of such Old Notes is settled (the “Accrued Interest”), </w:t>
      </w:r>
      <w:r>
        <w:rPr>
          <w:rFonts w:ascii="Times New Roman;Times;Serif" w:hAnsi="Times New Roman;Times;Serif"/>
          <w:b w:val="false"/>
          <w:i/>
          <w:caps w:val="false"/>
          <w:smallCaps w:val="false"/>
          <w:sz w:val="20"/>
        </w:rPr>
        <w:t>plus</w:t>
      </w:r>
      <w:r>
        <w:rPr>
          <w:rFonts w:ascii="Times New Roman;Times;Serif" w:hAnsi="Times New Roman;Times;Serif"/>
          <w:b w:val="false"/>
          <w:i w:val="false"/>
          <w:caps w:val="false"/>
          <w:smallCaps w:val="false"/>
          <w:sz w:val="20"/>
        </w:rPr>
        <w:t xml:space="preserve"> amounts due in lieu of fractional amounts of New Notes. Eligible Holders who receive New Notes in exchange for Old Notes on the Final Settlement Date (as defined below) will receive New Notes that will, if the Early Settlement Date (as defined below) has occurred, have an embedded entitlement to pre-issuance interest for the period from, and including, the Early Settlement Date to, but not including, the Final Settlement Date. As a result, the cash payable for Accrued Interest on the Old Notes exchanged on the Final Settlement Date will be reduced by the amount of pre-issuance interest on the New Notes exchanged therefor.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sz w:val="20"/>
          <w:bdr w:val="single" w:sz="8" w:space="1" w:color="000000"/>
        </w:rPr>
      </w:pPr>
      <w:r>
        <w:rPr>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Exchange Offers are being conducted upon the terms and subject to the conditions set forth in an offering memorandum, dated July 23, 2026 (the “Offering Memorandum”). The Company reserves the right, in its sole and absolute discretion, to increase the New 2038 Notes Cap or the New 2041 Notes Cap without extending the Withdrawal Deadline or otherwise reinstating withdrawal rights.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consummation of each Exchange Offer is subject to and conditioned upon the satisfaction or waiver of certain conditions, including, (i) that with respect to each series of New Notes, at least $500,000,000 aggregate principal amount of such series of New Notes would be issued on the Early Settlement Date, (ii) that as of the Pricing Time, the combination of the yield of the New Notes and the Total Exchange Consideration or the Base Exchange Consideration, as applicable, for the applicable series of Old Notes would result in the New Notes and such Old Notes being treated as “substantially different” under FASB Accounting Standards Codification (“ASC”) 470-50 and (iii) that with respect to any Old Notes validly tendered pursuant to any Exchange Offer that will be exchanged on the Final Settlement Date, we determine that the New Notes to be issued on the Final Settlement Date in such Exchange Offer will be treated as part of the same issue as the New Notes, if any, issued on the Early Settlement Date for U.S. federal income tax purposes. The Company reserves the right, in its sole discretion, to (i) amend the terms of any Exchange Offer or (ii) waive or amend any condition described in the Offering Memorandum with respect to any Exchange Offer, without extending the Early Tender Date or the Withdrawal Deadline or otherwise reinstating withdrawal rights for any Exchange Offer, subject to applicable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Only Eligible Holders of Old Notes who validly tender their Old Notes at or before 5:00 p.m. New York City time on August 5, 2026, subject to any extension by the Company (the “Early Tender Date”), who do not validly withdraw their tenders and whose Old Notes are accepted for exchange, will receive an early exchange premium as set forth in the tables above (the “Early Exchange Premium”).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Exchange Offers will expire at 5:00 p.m., New York City time, on August 20, 2026, unless extended or earlier terminated by the Company (the “Expiration Date”). Tenders of Old Notes submitted in the Exchange Offers at or prior to 5:00 p.m. New York City time on August 5, 2026, subject to any extension by the Company (the “Withdrawal Deadline”), may be validly withdrawn at any time prior to the Withdrawal Deadline, but thereafter will be irrevocable, except in certain limited circumstances where additional withdrawal rights are required by law (as determined by the Company). Tenders submitted in the Exchange Offers after the Withdrawal Deadline will be irrevocable except in the limited circumstances where additional withdrawal rights are required by law (as determined by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reserves the right, but is under no obligation, at any point following the Early Tender Date and before the Expiration Date, to accept for exchange any Old Notes validly tendered at or prior to the Early Tender Date (the date of such exchange, the “Early Settlement Date”). The Early Settlement Date will be determined at the Company’s option and is currently expected to occur on August 12, 2026, the fifth business day immediately following the Early Tender Date. If, after the Early Tender Date, the Company choose to exercise its options to have an Early Settlement Date and all conditions to the relevant Exchange Offers have been or are concurrently satisfied or waived by the Company, the Old Notes Issuers will, subject to the terms of the Exchange Offers, accept for exchange all Old Notes validly tendered in the Exchange Offers prior to the Early Tender Date subject to proration, and the exchange for such Old Notes will be made on the Early Settlement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sz w:val="20"/>
          <w:bdr w:val="single" w:sz="8" w:space="1" w:color="000000"/>
        </w:rPr>
      </w:pPr>
      <w:r>
        <w:rPr>
          <w:sz w:val="20"/>
          <w:bdr w:val="single" w:sz="8" w:space="1" w:color="000000"/>
        </w:rPr>
        <w:t>5</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Final Settlement Date for the Exchange Offers will be promptly after the Expiration Date and is currently expected to occur on August 24, 2026, the second business day immediately following the Expiration Date (the “Final Settlement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Exchange Offers are only being made, and the New Notes and related guarantees are only being offered and will only be issued to holders of Old Notes who are (1) reasonably believed to be “qualified institutional buyers” (“QIBs”) as defined in Rule 144A under the Securities Act (“Rule 144A”) or (2) outside the United States to persons other than “U.S. persons” as defined in Rule 902 under the Securities Act in offshore transactions in compliance with Regulation S under the Securities Act (“Regulation S”) (such holders, the “Eligible Holders”). Only Eligible Holders who have properly completed and returned the eligibility certification, which is available from the Information Agent, are authorized to receive and review the Offering Memorandum and to participate in the Exchange Offers. Additionally, in order to participate in the Exchange Offers, Eligible Holders located in Canada are required to complete, sign and submit to the Information Agent a Canadian Eligibility Form (which is available from the Information Agent). There is no separate letter of transmittal in connection with the offering memorandum.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New Notes and related guarantees have not been registered under the Securities Act or any state securities laws. Therefore, the New Notes and related guarantees may not be offered or sold in the United States absent registration or an applicable exemption from the registration requirements of the Securities Act and any applicable state securities laws.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are advised to check with any bank, securities broker or other intermediary through which they hold Old Notes as to when such intermediary needs to receive instructions from a holder in order for that holder to be able to participate in, or (in the circumstances in which revocation is permitted) revoke their instruction to participate in the Exchange Offers before the deadlines specified herein and in the Offering Memorandum, eligibility certification and Canadian Eligibility Form. The deadlines set by each clearing system for the submission and withdrawal of exchange instructions will also be earlier than the relevant deadlines specified herein and in the Offering Memorandum, eligibility certification and Canadian Eligibility Form.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sz w:val="20"/>
          <w:bdr w:val="single" w:sz="8" w:space="1" w:color="000000"/>
        </w:rPr>
      </w:pPr>
      <w:r>
        <w:rPr>
          <w:sz w:val="20"/>
          <w:bdr w:val="single" w:sz="8" w:space="1" w:color="000000"/>
        </w:rPr>
        <w:t>6</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is not an offer to sell or a solicitation of an offer to buy any of the securities described herein. The Exchange Offers are being made solely by the Offering Memorandum and only to such persons and in such jurisdictions as is permitted under applicable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Barclays Capital Inc., Citigroup Global Markets Inc. and Morgan Stanley &amp; Co. LLC are serving as the dealer managers for the Exchange Offers (the “Joint Lead Dealer Managers”). Questions regarding the Exchange Offers may be directed to Barclays Capital Inc., Liability Management Group at (800) 438-3242 (toll free) or (212) 528-7581 (collect), Citigroup Global Markets Inc., Liability Management Group at (800) 558-3745  (toll free) or (212) 723-6106  (collect) or Morgan Stanley &amp; Co. LLC, Liability Management Group at (800) 624-1808 (toll free) or (212) 761-1057 (collect).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D.F. King &amp; Co., Inc. will act as the exchange agent and information agent for the Exchange Offers. Documents relating to the Exchange Offers will only be distributed to holders of Old Notes who certify that they are Eligible Holders. Questions or requests for assistance related to the Exchange Offers or for additional copies of the Offering Memorandum, eligibility certification or Canadian beneficial holder form may be directed to D.F. King &amp; Co., Inc. at (888) 644-5854 (toll-free) or (646) 981-1289 (banks and brokers) or by email at charter@dfking.com. You may also contact your broker, dealer, commercial bank, trust company or other nominee for assistance concerning the Exchange Offers. The Offering Memorandum, eligibility certification and Canadian beneficial holder form can be accessed at the following link: www.dfking.com/charter.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Charter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Charter Communications, Inc. (NASDAQ:CHTR) is a leading broadband connectivity company with services available to nearly 59 million homes and small to large businesses across 41 states through its Spectrum brand. Founded in 1993, Charter has evolved from providing cable TV to streaming, and from high-speed Internet to a converged broadband, WiFi and mobile experience. Over the Spectrum Fiber Broadband Network and supported by our 100% U.S.-based employees, the company offers Seamless Connectivity and Entertainment with Spectrum Internet®, Mobile, TV and Voice products.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More information about Charter can be found at </w:t>
      </w:r>
      <w:r>
        <w:rPr>
          <w:rFonts w:ascii="Times New Roman;Times;Serif" w:hAnsi="Times New Roman;Times;Serif"/>
          <w:b w:val="false"/>
          <w:i w:val="false"/>
          <w:caps w:val="false"/>
          <w:smallCaps w:val="false"/>
          <w:sz w:val="20"/>
          <w:u w:val="single"/>
        </w:rPr>
        <w:t>corporate.charter.com</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Contact:</w:t>
      </w:r>
    </w:p>
    <w:p>
      <w:pPr>
        <w:pStyle w:val="TextBody"/>
        <w:bidi w:val="0"/>
        <w:spacing w:before="0" w:after="0"/>
        <w:ind w:left="0" w:right="0" w:hanging="0"/>
        <w:jc w:val="both"/>
        <w:rPr>
          <w:caps w:val="false"/>
          <w:smallCaps w:val="false"/>
        </w:rPr>
      </w:pPr>
      <w:r>
        <w:rPr>
          <w:caps w:val="false"/>
          <w:smallCaps w:val="false"/>
        </w:rPr>
        <w:t> </w:t>
      </w:r>
    </w:p>
    <w:tbl>
      <w:tblPr>
        <w:tblW w:w="1645" w:type="dxa"/>
        <w:jc w:val="left"/>
        <w:tblInd w:w="0" w:type="dxa"/>
        <w:tblLayout w:type="fixed"/>
        <w:tblCellMar>
          <w:top w:w="0" w:type="dxa"/>
          <w:left w:w="0" w:type="dxa"/>
          <w:bottom w:w="0" w:type="dxa"/>
          <w:right w:w="0" w:type="dxa"/>
        </w:tblCellMar>
      </w:tblPr>
      <w:tblGrid>
        <w:gridCol w:w="740"/>
        <w:gridCol w:w="905"/>
      </w:tblGrid>
      <w:tr>
        <w:trPr/>
        <w:tc>
          <w:tcPr>
            <w:tcW w:w="740" w:type="dxa"/>
            <w:tcBorders/>
            <w:vAlign w:val="center"/>
          </w:tcPr>
          <w:p>
            <w:pPr>
              <w:pStyle w:val="TableContents"/>
              <w:bidi w:val="0"/>
              <w:spacing w:before="0" w:after="283"/>
              <w:jc w:val="both"/>
              <w:rPr/>
            </w:pPr>
            <w:r>
              <w:rPr>
                <w:u w:val="single"/>
              </w:rPr>
              <w:t>Media:</w:t>
            </w:r>
            <w:r>
              <w:rPr/>
              <w:t xml:space="preserve"> </w:t>
            </w:r>
          </w:p>
        </w:tc>
        <w:tc>
          <w:tcPr>
            <w:tcW w:w="905" w:type="dxa"/>
            <w:tcBorders/>
            <w:vAlign w:val="center"/>
          </w:tcPr>
          <w:p>
            <w:pPr>
              <w:pStyle w:val="TableContents"/>
              <w:bidi w:val="0"/>
              <w:spacing w:before="0" w:after="283"/>
              <w:jc w:val="both"/>
              <w:rPr>
                <w:u w:val="single"/>
              </w:rPr>
            </w:pPr>
            <w:r>
              <w:rPr>
                <w:u w:val="single"/>
              </w:rPr>
              <w:t>Analysts:</w:t>
            </w:r>
          </w:p>
        </w:tc>
      </w:tr>
    </w:tbl>
    <w:tbl>
      <w:tblPr>
        <w:tblW w:w="2935" w:type="dxa"/>
        <w:jc w:val="left"/>
        <w:tblInd w:w="0" w:type="dxa"/>
        <w:tblLayout w:type="fixed"/>
        <w:tblCellMar>
          <w:top w:w="0" w:type="dxa"/>
          <w:left w:w="0" w:type="dxa"/>
          <w:bottom w:w="0" w:type="dxa"/>
          <w:right w:w="0" w:type="dxa"/>
        </w:tblCellMar>
      </w:tblPr>
      <w:tblGrid>
        <w:gridCol w:w="1355"/>
        <w:gridCol w:w="1580"/>
      </w:tblGrid>
      <w:tr>
        <w:trPr/>
        <w:tc>
          <w:tcPr>
            <w:tcW w:w="1355" w:type="dxa"/>
            <w:tcBorders/>
            <w:vAlign w:val="center"/>
          </w:tcPr>
          <w:p>
            <w:pPr>
              <w:pStyle w:val="TableContents"/>
              <w:bidi w:val="0"/>
              <w:spacing w:before="0" w:after="283"/>
              <w:jc w:val="both"/>
              <w:rPr/>
            </w:pPr>
            <w:r>
              <w:rPr/>
              <w:t>Justin Venech</w:t>
            </w:r>
          </w:p>
        </w:tc>
        <w:tc>
          <w:tcPr>
            <w:tcW w:w="1580" w:type="dxa"/>
            <w:tcBorders/>
            <w:vAlign w:val="center"/>
          </w:tcPr>
          <w:p>
            <w:pPr>
              <w:pStyle w:val="TableContents"/>
              <w:bidi w:val="0"/>
              <w:spacing w:before="0" w:after="283"/>
              <w:jc w:val="both"/>
              <w:rPr/>
            </w:pPr>
            <w:r>
              <w:rPr/>
              <w:t>Stefan Anninger</w:t>
            </w:r>
          </w:p>
        </w:tc>
      </w:tr>
    </w:tbl>
    <w:tbl>
      <w:tblPr>
        <w:tblW w:w="2740" w:type="dxa"/>
        <w:jc w:val="left"/>
        <w:tblInd w:w="0" w:type="dxa"/>
        <w:tblLayout w:type="fixed"/>
        <w:tblCellMar>
          <w:top w:w="0" w:type="dxa"/>
          <w:left w:w="0" w:type="dxa"/>
          <w:bottom w:w="0" w:type="dxa"/>
          <w:right w:w="0" w:type="dxa"/>
        </w:tblCellMar>
      </w:tblPr>
      <w:tblGrid>
        <w:gridCol w:w="1370"/>
        <w:gridCol w:w="1370"/>
      </w:tblGrid>
      <w:tr>
        <w:trPr/>
        <w:tc>
          <w:tcPr>
            <w:tcW w:w="1370" w:type="dxa"/>
            <w:tcBorders/>
            <w:vAlign w:val="center"/>
          </w:tcPr>
          <w:p>
            <w:pPr>
              <w:pStyle w:val="TableContents"/>
              <w:bidi w:val="0"/>
              <w:spacing w:before="0" w:after="283"/>
              <w:jc w:val="both"/>
              <w:rPr/>
            </w:pPr>
            <w:r>
              <w:rPr/>
              <w:t>203-905-7818</w:t>
            </w:r>
          </w:p>
        </w:tc>
        <w:tc>
          <w:tcPr>
            <w:tcW w:w="1370" w:type="dxa"/>
            <w:tcBorders/>
            <w:vAlign w:val="center"/>
          </w:tcPr>
          <w:p>
            <w:pPr>
              <w:pStyle w:val="TableContents"/>
              <w:bidi w:val="0"/>
              <w:spacing w:before="0" w:after="283"/>
              <w:jc w:val="both"/>
              <w:rPr/>
            </w:pPr>
            <w:r>
              <w:rPr/>
              <w:t>203-905-7955</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CAUTIONARY STATEMENT REGARDING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includes forward-looking statements within the meaning of Section 27A of the Securities Act of 1933, as amended, and Section 21E of the Securities Exchange Act of 1934, as amended, regarding, among other things, the Exchange Offers. Although we believe that our plans, intentions and expectations as reflected in or suggested by these forward-looking statements are reasonable, we cannot assure you that we will achieve or realize these plans, intentions or expectations. Forward-looking statements are inherently subject to risks, uncertainties and assumptions including, without limitation, the factors described under "Risk Factors" from time to time in Charter’s filings with the SEC. Many of the forward-looking statements contained in this press release may be identified by the use of forward-looking words such as “believe,” “future,” “expect,” “anticipate,” “should,” “planned,” “will,” “may,” “intend,” “estimated,” “aim,” “on track,” “target,” “opportunity,” “tentative,” “positioning,” “designed,” “create,” “predict,” “project,” “initiatives,” “seek,” “would,” “could,” “continue,” “ongoing,” “upside,” “increases,” “grow,” “focused on” and “potential,” among others.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forward-looking statements attributable to the Company or any person acting on our behalf are expressly qualified in their entirety by this cautionary statement.  The Company is under no duty or obligation to update any of the forward-looking statements after the date of this press release.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right"/>
        <w:rPr>
          <w:b/>
        </w:rPr>
      </w:pPr>
      <w:bookmarkStart w:id="62" w:name="tm2621145d1_ex99-2.htm"/>
      <w:bookmarkStart w:id="63" w:name="kstm2621145d1_ex992"/>
      <w:bookmarkEnd w:id="62"/>
      <w:bookmarkEnd w:id="63"/>
      <w:r>
        <w:rPr>
          <w:b/>
        </w:rPr>
        <w:t>Exhibit 99.2</w:t>
      </w:r>
      <w:r>
        <w:br w:type="page"/>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COX COMMUNICATIONS,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Wholly-Owned Subsidiary of Cox Enterprises,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pBdr>
          <w:bottom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750"/>
        <w:gridCol w:w="455"/>
      </w:tblGrid>
      <w:tr>
        <w:trPr/>
        <w:tc>
          <w:tcPr>
            <w:tcW w:w="975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Page</w:t>
            </w:r>
          </w:p>
        </w:tc>
      </w:tr>
      <w:tr>
        <w:trPr/>
        <w:tc>
          <w:tcPr>
            <w:tcW w:w="97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Independent Auditor’s Report</w:t>
            </w:r>
          </w:p>
        </w:tc>
        <w:tc>
          <w:tcPr>
            <w:tcW w:w="45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w:t>
            </w:r>
          </w:p>
        </w:tc>
      </w:tr>
      <w:tr>
        <w:trPr/>
        <w:tc>
          <w:tcPr>
            <w:tcW w:w="97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Consolidated Financial Statements as of December 31, 2025 and 2024 and for the years ended December 31, 2025, 2024 and 2023</w:t>
            </w:r>
          </w:p>
        </w:tc>
        <w:tc>
          <w:tcPr>
            <w:tcW w:w="455" w:type="dxa"/>
            <w:tcBorders/>
            <w:vAlign w:val="center"/>
          </w:tcPr>
          <w:p>
            <w:pPr>
              <w:pStyle w:val="TableContents"/>
              <w:bidi w:val="0"/>
              <w:spacing w:before="0" w:after="283"/>
              <w:jc w:val="center"/>
              <w:rPr/>
            </w:pPr>
            <w:r>
              <w:rPr/>
              <w:t> </w:t>
            </w:r>
          </w:p>
        </w:tc>
      </w:tr>
      <w:tr>
        <w:trPr/>
        <w:tc>
          <w:tcPr>
            <w:tcW w:w="97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Consolidated Balance Sheets</w:t>
            </w:r>
          </w:p>
        </w:tc>
        <w:tc>
          <w:tcPr>
            <w:tcW w:w="45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w:t>
            </w:r>
          </w:p>
        </w:tc>
      </w:tr>
      <w:tr>
        <w:trPr/>
        <w:tc>
          <w:tcPr>
            <w:tcW w:w="97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Consolidated Statements of Operations</w:t>
            </w:r>
          </w:p>
        </w:tc>
        <w:tc>
          <w:tcPr>
            <w:tcW w:w="45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w:t>
            </w:r>
          </w:p>
        </w:tc>
      </w:tr>
      <w:tr>
        <w:trPr/>
        <w:tc>
          <w:tcPr>
            <w:tcW w:w="97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Consolidated Statements of Cash Flows</w:t>
            </w:r>
          </w:p>
        </w:tc>
        <w:tc>
          <w:tcPr>
            <w:tcW w:w="45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w:t>
            </w:r>
          </w:p>
        </w:tc>
      </w:tr>
      <w:tr>
        <w:trPr/>
        <w:tc>
          <w:tcPr>
            <w:tcW w:w="97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Consolidated Statements of Changes in Equity</w:t>
            </w:r>
          </w:p>
        </w:tc>
        <w:tc>
          <w:tcPr>
            <w:tcW w:w="45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w:t>
            </w:r>
          </w:p>
        </w:tc>
      </w:tr>
      <w:tr>
        <w:trPr/>
        <w:tc>
          <w:tcPr>
            <w:tcW w:w="97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Notes to Consolidated Financial Statements</w:t>
            </w:r>
          </w:p>
        </w:tc>
        <w:tc>
          <w:tcPr>
            <w:tcW w:w="45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INDEPENDENT AUDITOR'S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Board of Directors and Shareholders of Cox Communications,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Opinion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audited the consolidated financial statements of Cox Communications, Inc. and subsidiaries (the "Company") (a wholly owned subsidiary of Cox Enterprises, Inc.), which comprise the consolidated balance sheets as of December 31, 2025 and 2024, and the related consolidated statements of operations, changes in equity, and cash flows for the three years then ended December 31, 2025 and the related notes to the consolidated financial statements (collectively referred to as the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our opinion, the accompanying financial statements present fairly, in all material respects, the financial position of the Company as of December 31, 2025 and 2024, and the results of its operations and its cash flows for each of the three years in the period ended December 31, 2025 in accordance with accounting principles generally accepted in the United States of America.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Basis for Opinion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conducted our audits in accordance with auditing standards generally accepted in the United States of America (GAAS). Our responsibilities under those standards are further described in the Auditor's Responsibilities for the Audit of the Financial Statements section of our report. We are required to be independent of the Company and to meet our other ethical responsibilities, in accordance with the relevant ethical requirements relating to our audits. We believe that the audit evidence we have obtained is sufficient and appropriate to provide a basis for our audit opinion.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Responsibilities of Management for the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is responsible for the preparation and fair presentation of the financial statements in accordance with accounting principles generally accepted in the United States of America, and for the design, implementation, and maintenance of internal control relevant to the preparation and fair presentation of financial statements that are free from material misstatement, whether due to fraud or error.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preparing the financial statements, management is required to evaluate whether there are conditions or events, considered in the aggregate, that raise substantial doubt about the Company's ability to continue as a going concern for one year after the date that the financial statements are issued.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Auditor's Responsibilities for the Audit of the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objectives are to obtain reasonable assurance about whether the financial statements as a whole are free from material misstatement, whether due to fraud or error, and to issue an auditor's report that includes our opinion. Reasonable assurance is a high level of assurance but is not absolute assurance and therefore is not a guarantee that an audit conducted in accordance with GAAS will always detect a material misstatement when it exists. The risk of not detecting a material misstatement resulting from fraud is higher than for one resulting from error, as fraud may involve collusion, forgery, intentional omissions, misrepresentations, or the override of internal control. Misstatements are considered material if there is a substantial likelihood that, individually or in the aggregate, they would influence the judgment made by a reasonable user based on the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performing an audit in accordance with GAAS, we:</w:t>
      </w:r>
    </w:p>
    <w:p>
      <w:pPr>
        <w:pStyle w:val="TextBody"/>
        <w:bidi w:val="0"/>
        <w:spacing w:before="0" w:after="0"/>
        <w:ind w:left="0" w:right="0" w:hanging="0"/>
        <w:jc w:val="left"/>
        <w:rPr>
          <w:caps w:val="false"/>
          <w:smallCaps w:val="false"/>
        </w:rPr>
      </w:pPr>
      <w:r>
        <w:rPr>
          <w:caps w:val="false"/>
          <w:smallCaps w:val="false"/>
        </w:rPr>
        <w:t> </w:t>
      </w:r>
    </w:p>
    <w:tbl>
      <w:tblPr>
        <w:tblW w:w="8748" w:type="dxa"/>
        <w:jc w:val="left"/>
        <w:tblInd w:w="0" w:type="dxa"/>
        <w:tblLayout w:type="fixed"/>
        <w:tblCellMar>
          <w:top w:w="0" w:type="dxa"/>
          <w:left w:w="0" w:type="dxa"/>
          <w:bottom w:w="0" w:type="dxa"/>
          <w:right w:w="0" w:type="dxa"/>
        </w:tblCellMar>
      </w:tblPr>
      <w:tblGrid>
        <w:gridCol w:w="38"/>
        <w:gridCol w:w="170"/>
        <w:gridCol w:w="85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54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Exercise professional judgment and maintain professional skepticism throughout the audit.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Identify and assess the risks of material misstatement of the financial statements, whether due to fraud or error, and design and perform audit procedures responsive to those risks. Such procedures include examining, on a test basis, evidence regarding the amounts and disclosures in the financial statements.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Obtain an understanding of internal control relevant to the audit in order to design audit procedures that are appropriate in the circumstances, but not for the purpose of expressing an opinion on the effectiveness of the Company's internal control. Accordingly, no such opinion is expressed.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Evaluate the appropriateness of accounting policies used and the reasonableness of significant accounting estimates made by management, as well as evaluate the overall presentation of the financial statements.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Conclude whether, in our judgment, there are conditions or events, considered in the aggregate, that raise substantial doubt about the Company's ability to continue as a going concern for a reasonable period of time.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required to communicate with those charged with governance regarding, among other matters, the planned scope and timing of the audit, significant audit findings, and certain internal control-related matters that we identified during the audit.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Deloitte &amp; Touche LLP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Atlanta, GA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February 27,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COX COMMUNICATIONS,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Wholly-Owned Subsidiary of Cox Enterprises,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BALANCE SHEETS</w:t>
      </w:r>
    </w:p>
    <w:p>
      <w:pPr>
        <w:pStyle w:val="TextBody"/>
        <w:pBdr>
          <w:bottom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9490" w:type="dxa"/>
        <w:jc w:val="left"/>
        <w:tblInd w:w="0" w:type="dxa"/>
        <w:tblLayout w:type="fixed"/>
        <w:tblCellMar>
          <w:top w:w="0" w:type="dxa"/>
          <w:left w:w="0" w:type="dxa"/>
          <w:bottom w:w="0" w:type="dxa"/>
          <w:right w:w="0" w:type="dxa"/>
        </w:tblCellMar>
      </w:tblPr>
      <w:tblGrid>
        <w:gridCol w:w="7805"/>
        <w:gridCol w:w="60"/>
        <w:gridCol w:w="125"/>
        <w:gridCol w:w="590"/>
        <w:gridCol w:w="60"/>
        <w:gridCol w:w="60"/>
        <w:gridCol w:w="125"/>
        <w:gridCol w:w="590"/>
        <w:gridCol w:w="75"/>
      </w:tblGrid>
      <w:tr>
        <w:trPr/>
        <w:tc>
          <w:tcPr>
            <w:tcW w:w="78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5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80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millions)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80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78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and cash equivalents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97</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8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receivable — net of allowance of $38 and $32, respectively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603</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8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due from Cox Enterprises, Inc.</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4,025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4,273</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8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Prepaid expenses and other current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8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current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5,098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5,283</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8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and equipment —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12,603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12,216</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8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Goodwill</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1,260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1,260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8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Intangible assets —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11,374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17,009</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8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noncurrent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513</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8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30,729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36,281</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8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780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LIABILITIES AND EQUITY</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78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LIABILITIES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78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payable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565</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8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labor and benefits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668</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8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programming costs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203</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8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expenses and other current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792</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8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portion of long-term debt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877</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8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current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2,987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3,105</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8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Long-term debt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11,474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12,323</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8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income taxes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4,446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5,465</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8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noncurrent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902</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8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19,780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21,795</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8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EQUITY</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78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stock, $1.00 par value; 1,000 shares authorized and 100 shares issued and outstanding</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8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paid-in capital</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4,540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4,429</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8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Retained earnings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6,409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10,057</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8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equity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10,949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14,486</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8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LIABILITIES AND EQUITY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9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30,729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9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36,281</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notes to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COX COMMUNICATIONS,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Wholly-Owned Subsidiary of Cox Enterprises,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OPERATIONS</w:t>
      </w:r>
    </w:p>
    <w:p>
      <w:pPr>
        <w:pStyle w:val="TextBody"/>
        <w:pBdr>
          <w:bottom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8990" w:type="dxa"/>
        <w:jc w:val="left"/>
        <w:tblInd w:w="0" w:type="dxa"/>
        <w:tblLayout w:type="fixed"/>
        <w:tblCellMar>
          <w:top w:w="0" w:type="dxa"/>
          <w:left w:w="0" w:type="dxa"/>
          <w:bottom w:w="0" w:type="dxa"/>
          <w:right w:w="0" w:type="dxa"/>
        </w:tblCellMar>
      </w:tblPr>
      <w:tblGrid>
        <w:gridCol w:w="6410"/>
        <w:gridCol w:w="60"/>
        <w:gridCol w:w="125"/>
        <w:gridCol w:w="590"/>
        <w:gridCol w:w="80"/>
        <w:gridCol w:w="60"/>
        <w:gridCol w:w="125"/>
        <w:gridCol w:w="590"/>
        <w:gridCol w:w="80"/>
        <w:gridCol w:w="60"/>
        <w:gridCol w:w="125"/>
        <w:gridCol w:w="590"/>
        <w:gridCol w:w="95"/>
      </w:tblGrid>
      <w:tr>
        <w:trPr/>
        <w:tc>
          <w:tcPr>
            <w:tcW w:w="64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425"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Years Ended December 31,</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41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millions)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2023</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4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12,531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13,073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13,326</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4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64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EXPENSES: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64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Operating costs and expenses </w:t>
            </w:r>
            <w:r>
              <w:rPr>
                <w:rFonts w:ascii="Times New Roman;Times;Serif" w:hAnsi="Times New Roman;Times;Serif"/>
                <w:b w:val="false"/>
                <w:i w:val="false"/>
                <w:caps w:val="false"/>
                <w:smallCaps w:val="false"/>
                <w:position w:val="7"/>
                <w:sz w:val="16"/>
                <w:sz w:val="20"/>
              </w:rPr>
              <w:t>(a)</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7,543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8,134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8,261</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4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and amortization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2,158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2,183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2,099</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4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Impairment of intangible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5,604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4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4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operating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15,497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10,523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10,328</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4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64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(LOSS) INCOME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(2,966</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2,550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2,998</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4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64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NON-OPERATING EXPENSES: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64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 —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(361</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4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Investment expense —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(151</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4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Miscellaneous income —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4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non-operating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(469</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4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64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INCOME BEFORE INCOME TAXES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(3,420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2,175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2,529</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4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64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 BENEFIT (EXPENSE)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(626</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4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64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 INCOME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(2,648</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1,725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1,903</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4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Less: Net loss attributable to noncontrolling interests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0"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0"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4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 INCOME ATTRIBUTABLE TO COX COMMUNICATIONS, INC.</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9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(2,648</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9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1,725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9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1,921</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(a)</w:t>
      </w:r>
      <w:r>
        <w:rPr>
          <w:rFonts w:ascii="Times New Roman;Times;Serif" w:hAnsi="Times New Roman;Times;Serif"/>
          <w:b w:val="false"/>
          <w:i w:val="false"/>
          <w:caps w:val="false"/>
          <w:smallCaps w:val="false"/>
          <w:sz w:val="20"/>
        </w:rPr>
        <w:t> See Note 13 — Transactions with Affiliated Companies and Related Parties for impacts associated with related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notes to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COX COMMUNICATIONS,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Wholly-Owned Subsidiary of Cox Enterprises,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CASH FLOWS</w:t>
      </w:r>
    </w:p>
    <w:p>
      <w:pPr>
        <w:pStyle w:val="TextBody"/>
        <w:pBdr>
          <w:bottom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9566" w:type="dxa"/>
        <w:jc w:val="left"/>
        <w:tblInd w:w="0" w:type="dxa"/>
        <w:tblLayout w:type="fixed"/>
        <w:tblCellMar>
          <w:top w:w="0" w:type="dxa"/>
          <w:left w:w="0" w:type="dxa"/>
          <w:bottom w:w="0" w:type="dxa"/>
          <w:right w:w="0" w:type="dxa"/>
        </w:tblCellMar>
      </w:tblPr>
      <w:tblGrid>
        <w:gridCol w:w="7115"/>
        <w:gridCol w:w="60"/>
        <w:gridCol w:w="125"/>
        <w:gridCol w:w="547"/>
        <w:gridCol w:w="80"/>
        <w:gridCol w:w="60"/>
        <w:gridCol w:w="125"/>
        <w:gridCol w:w="547"/>
        <w:gridCol w:w="80"/>
        <w:gridCol w:w="60"/>
        <w:gridCol w:w="125"/>
        <w:gridCol w:w="547"/>
        <w:gridCol w:w="95"/>
      </w:tblGrid>
      <w:tr>
        <w:trPr/>
        <w:tc>
          <w:tcPr>
            <w:tcW w:w="71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296"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Years Ended December 31,</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11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millions)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72"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72"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72"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2023</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1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FLOWS FROM OPERATING ACTIVITIES: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47"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47"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4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71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 income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4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(2,648</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4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1,725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4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1,903</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1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Adjustments to reconcile net (loss) income to net cash provided by operating activities: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47"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47"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4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71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and amortization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2,158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2,183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2,099</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1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income taxes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(1,019</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1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Investment expense —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151</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1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Impairment of intangible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5,604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7"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7"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1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Provision for doubtful accounts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1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Restructuring and other</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7"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1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certain assets and liabilities: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47"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47"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4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71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 in accounts receivable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(147</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(128</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1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 in prepaid expenses and other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1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Decrease in accounts payable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7"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1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(Decrease) increase in accrued expenses and other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(117</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1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4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4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4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1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operating activities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4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3,826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4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3,990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4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4,261</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1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47"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47"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4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71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FLOWS FROM INVESTING ACTIVITIES: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47"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47"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4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71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 expenditures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(2,247</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(2,497</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(2,867</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1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Decrease (increase) in amounts due from Cox Enterprises, Inc.</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(2,938</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(387</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1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Acquisition — net of cash acquired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7"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7"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(239</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1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4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4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4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1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investing activities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4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(1,953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4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(5,390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4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(3,461</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1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47"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47"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4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71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FLOWS FROM FINANCING ACTIVITIES: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47"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47"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4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71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Proceeds from issuance of debt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7"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2,998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1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Repayment of debt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(490</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1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Purchases of subsidiary shares from noncontrolling interests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7"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7"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(516</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1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Dividends paid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(750</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1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4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4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4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1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provided by financing activities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4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(1,906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4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1,377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4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(783</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1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47"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47"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4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71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CHANGE IN CASH AND CASH EQUIVALENTS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1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AND CASH EQUIVALENTS — Beginning of period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4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4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4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1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AND CASH EQUIVALENTS — End of period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47"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47"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47"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notes to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COX COMMUNICATIONS,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Wholly-Owned Subsidiary of Cox Enterprises,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CHANGES IN EQUITY</w:t>
      </w:r>
    </w:p>
    <w:p>
      <w:pPr>
        <w:pStyle w:val="TextBody"/>
        <w:pBdr>
          <w:bottom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4965"/>
        <w:gridCol w:w="60"/>
        <w:gridCol w:w="259"/>
        <w:gridCol w:w="541"/>
        <w:gridCol w:w="60"/>
        <w:gridCol w:w="60"/>
        <w:gridCol w:w="188"/>
        <w:gridCol w:w="732"/>
        <w:gridCol w:w="80"/>
        <w:gridCol w:w="60"/>
        <w:gridCol w:w="139"/>
        <w:gridCol w:w="661"/>
        <w:gridCol w:w="80"/>
        <w:gridCol w:w="60"/>
        <w:gridCol w:w="394"/>
        <w:gridCol w:w="916"/>
        <w:gridCol w:w="80"/>
        <w:gridCol w:w="60"/>
        <w:gridCol w:w="125"/>
        <w:gridCol w:w="590"/>
        <w:gridCol w:w="95"/>
      </w:tblGrid>
      <w:tr>
        <w:trPr/>
        <w:tc>
          <w:tcPr>
            <w:tcW w:w="4965"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millions)</w:t>
            </w:r>
          </w:p>
        </w:tc>
        <w:tc>
          <w:tcPr>
            <w:tcW w:w="60" w:type="dxa"/>
            <w:tcBorders/>
            <w:tcMar>
              <w:bottom w:w="0" w:type="dxa"/>
            </w:tcMar>
            <w:vAlign w:val="center"/>
          </w:tcPr>
          <w:p>
            <w:pPr>
              <w:pStyle w:val="TableContents"/>
              <w:bidi w:val="0"/>
              <w:spacing w:before="0" w:after="283"/>
              <w:jc w:val="left"/>
              <w:rPr/>
            </w:pPr>
            <w:r>
              <w:rPr/>
              <w:t> </w:t>
            </w:r>
          </w:p>
        </w:tc>
        <w:tc>
          <w:tcPr>
            <w:tcW w:w="800" w:type="dxa"/>
            <w:gridSpan w:val="2"/>
            <w:tcBorders>
              <w:bottom w:val="single" w:sz="8" w:space="0" w:color="000000"/>
            </w:tcBorders>
            <w:vAlign w:val="center"/>
          </w:tcPr>
          <w:p>
            <w:pPr>
              <w:pStyle w:val="TableContents"/>
              <w:bidi w:val="0"/>
              <w:spacing w:before="0" w:after="283"/>
              <w:jc w:val="center"/>
              <w:rPr>
                <w:b/>
                <w:sz w:val="20"/>
              </w:rPr>
            </w:pPr>
            <w:r>
              <w:rPr>
                <w:b/>
                <w:sz w:val="20"/>
              </w:rPr>
              <w:t>Common</w:t>
              <w:br/>
              <w:t>Stock</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Additional</w:t>
              <w:br/>
              <w:t>Paid-In</w:t>
              <w:br/>
              <w:t>Capital</w:t>
            </w:r>
          </w:p>
        </w:tc>
        <w:tc>
          <w:tcPr>
            <w:tcW w:w="8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800" w:type="dxa"/>
            <w:gridSpan w:val="2"/>
            <w:tcBorders>
              <w:bottom w:val="single" w:sz="8" w:space="0" w:color="000000"/>
            </w:tcBorders>
            <w:vAlign w:val="center"/>
          </w:tcPr>
          <w:p>
            <w:pPr>
              <w:pStyle w:val="TableContents"/>
              <w:bidi w:val="0"/>
              <w:spacing w:before="0" w:after="283"/>
              <w:jc w:val="center"/>
              <w:rPr>
                <w:b/>
                <w:sz w:val="20"/>
              </w:rPr>
            </w:pPr>
            <w:r>
              <w:rPr>
                <w:b/>
                <w:sz w:val="20"/>
              </w:rPr>
              <w:t>Retained</w:t>
              <w:br/>
              <w:t>Earnings</w:t>
            </w:r>
          </w:p>
        </w:tc>
        <w:tc>
          <w:tcPr>
            <w:tcW w:w="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10" w:type="dxa"/>
            <w:gridSpan w:val="2"/>
            <w:tcBorders>
              <w:bottom w:val="single" w:sz="8" w:space="0" w:color="000000"/>
            </w:tcBorders>
            <w:vAlign w:val="center"/>
          </w:tcPr>
          <w:p>
            <w:pPr>
              <w:pStyle w:val="TableContents"/>
              <w:bidi w:val="0"/>
              <w:spacing w:before="0" w:after="283"/>
              <w:jc w:val="center"/>
              <w:rPr>
                <w:b/>
                <w:sz w:val="20"/>
              </w:rPr>
            </w:pPr>
            <w:r>
              <w:rPr>
                <w:b/>
                <w:sz w:val="20"/>
              </w:rPr>
              <w:t>Noncontrolling</w:t>
              <w:br/>
              <w:t>Interests</w:t>
            </w:r>
          </w:p>
        </w:tc>
        <w:tc>
          <w:tcPr>
            <w:tcW w:w="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1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tc>
        <w:tc>
          <w:tcPr>
            <w:tcW w:w="9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96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BALANCE — January 1, 2023</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59" w:type="dxa"/>
            <w:tcBorders>
              <w:bottom w:val="single" w:sz="8" w:space="0" w:color="000000"/>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41" w:type="dxa"/>
            <w:tcBorders>
              <w:bottom w:val="single" w:sz="8" w:space="0" w:color="000000"/>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8" w:type="dxa"/>
            <w:tcBorders>
              <w:bottom w:val="single" w:sz="8" w:space="0" w:color="000000"/>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32"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4,814</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9" w:type="dxa"/>
            <w:tcBorders>
              <w:bottom w:val="single" w:sz="8" w:space="0" w:color="000000"/>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61"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8,161</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94" w:type="dxa"/>
            <w:tcBorders>
              <w:bottom w:val="single" w:sz="8" w:space="0" w:color="000000"/>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16"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90"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13,027</w:t>
            </w:r>
          </w:p>
        </w:tc>
        <w:tc>
          <w:tcPr>
            <w:tcW w:w="9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96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9" w:type="dxa"/>
            <w:tcBorders/>
            <w:shd w:fill="FFFFFF" w:val="clear"/>
            <w:tcMar>
              <w:bottom w:w="0" w:type="dxa"/>
            </w:tcMar>
            <w:vAlign w:val="center"/>
          </w:tcPr>
          <w:p>
            <w:pPr>
              <w:pStyle w:val="TableContents"/>
              <w:bidi w:val="0"/>
              <w:spacing w:before="0" w:after="283"/>
              <w:jc w:val="left"/>
              <w:rPr/>
            </w:pPr>
            <w:r>
              <w:rPr/>
              <w:t> </w:t>
            </w:r>
          </w:p>
        </w:tc>
        <w:tc>
          <w:tcPr>
            <w:tcW w:w="541"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8" w:type="dxa"/>
            <w:tcBorders/>
            <w:shd w:fill="FFFFFF" w:val="clear"/>
            <w:tcMar>
              <w:bottom w:w="0" w:type="dxa"/>
            </w:tcMar>
            <w:vAlign w:val="center"/>
          </w:tcPr>
          <w:p>
            <w:pPr>
              <w:pStyle w:val="TableContents"/>
              <w:bidi w:val="0"/>
              <w:spacing w:before="0" w:after="283"/>
              <w:jc w:val="left"/>
              <w:rPr/>
            </w:pPr>
            <w:r>
              <w:rPr/>
              <w:t> </w:t>
            </w:r>
          </w:p>
        </w:tc>
        <w:tc>
          <w:tcPr>
            <w:tcW w:w="732" w:type="dxa"/>
            <w:tcBorders/>
            <w:shd w:fill="FFFFFF" w:val="clear"/>
            <w:tcMar>
              <w:bottom w:w="0" w:type="dxa"/>
            </w:tcMar>
            <w:vAlign w:val="center"/>
          </w:tcPr>
          <w:p>
            <w:pPr>
              <w:pStyle w:val="TableContents"/>
              <w:bidi w:val="0"/>
              <w:spacing w:before="0" w:after="283"/>
              <w:jc w:val="righ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9" w:type="dxa"/>
            <w:tcBorders/>
            <w:shd w:fill="FFFFFF" w:val="clear"/>
            <w:tcMar>
              <w:bottom w:w="0" w:type="dxa"/>
            </w:tcMar>
            <w:vAlign w:val="center"/>
          </w:tcPr>
          <w:p>
            <w:pPr>
              <w:pStyle w:val="TableContents"/>
              <w:bidi w:val="0"/>
              <w:spacing w:before="0" w:after="283"/>
              <w:jc w:val="left"/>
              <w:rPr/>
            </w:pPr>
            <w:r>
              <w:rPr/>
              <w:t> </w:t>
            </w:r>
          </w:p>
        </w:tc>
        <w:tc>
          <w:tcPr>
            <w:tcW w:w="661" w:type="dxa"/>
            <w:tcBorders/>
            <w:shd w:fill="FFFFFF" w:val="clear"/>
            <w:tcMar>
              <w:bottom w:w="0" w:type="dxa"/>
            </w:tcMar>
            <w:vAlign w:val="center"/>
          </w:tcPr>
          <w:p>
            <w:pPr>
              <w:pStyle w:val="TableContents"/>
              <w:bidi w:val="0"/>
              <w:spacing w:before="0" w:after="283"/>
              <w:jc w:val="righ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94" w:type="dxa"/>
            <w:tcBorders/>
            <w:shd w:fill="FFFFFF" w:val="clear"/>
            <w:tcMar>
              <w:bottom w:w="0" w:type="dxa"/>
            </w:tcMar>
            <w:vAlign w:val="center"/>
          </w:tcPr>
          <w:p>
            <w:pPr>
              <w:pStyle w:val="TableContents"/>
              <w:bidi w:val="0"/>
              <w:spacing w:before="0" w:after="283"/>
              <w:jc w:val="left"/>
              <w:rPr/>
            </w:pPr>
            <w:r>
              <w:rPr/>
              <w:t> </w:t>
            </w:r>
          </w:p>
        </w:tc>
        <w:tc>
          <w:tcPr>
            <w:tcW w:w="916" w:type="dxa"/>
            <w:tcBorders/>
            <w:shd w:fill="FFFFFF" w:val="clear"/>
            <w:tcMar>
              <w:bottom w:w="0" w:type="dxa"/>
            </w:tcMar>
            <w:vAlign w:val="center"/>
          </w:tcPr>
          <w:p>
            <w:pPr>
              <w:pStyle w:val="TableContents"/>
              <w:bidi w:val="0"/>
              <w:spacing w:before="0" w:after="283"/>
              <w:jc w:val="righ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590"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r>
      <w:tr>
        <w:trPr/>
        <w:tc>
          <w:tcPr>
            <w:tcW w:w="496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income (loss)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59"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41"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8"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32"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9"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61"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1,921</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94"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16"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1,903</w:t>
            </w:r>
          </w:p>
        </w:tc>
        <w:tc>
          <w:tcPr>
            <w:tcW w:w="9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96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Dividends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59"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41"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8"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32"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9"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61"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(750</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94"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16"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(750</w:t>
            </w:r>
          </w:p>
        </w:tc>
        <w:tc>
          <w:tcPr>
            <w:tcW w:w="9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96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 of subsidiary shares from noncontrolling interest — net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59"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41"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8"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32"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(385</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9"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61"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94"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16"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(419</w:t>
            </w:r>
          </w:p>
        </w:tc>
        <w:tc>
          <w:tcPr>
            <w:tcW w:w="9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96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9" w:type="dxa"/>
            <w:tcBorders>
              <w:bottom w:val="single" w:sz="8" w:space="0" w:color="000000"/>
            </w:tcBorders>
            <w:shd w:fill="FFFFFF" w:val="clear"/>
            <w:vAlign w:val="center"/>
          </w:tcPr>
          <w:p>
            <w:pPr>
              <w:pStyle w:val="TableContents"/>
              <w:bidi w:val="0"/>
              <w:spacing w:before="0" w:after="283"/>
              <w:jc w:val="left"/>
              <w:rPr/>
            </w:pPr>
            <w:r>
              <w:rPr/>
              <w:t> </w:t>
            </w:r>
          </w:p>
        </w:tc>
        <w:tc>
          <w:tcPr>
            <w:tcW w:w="541" w:type="dxa"/>
            <w:tcBorders>
              <w:bottom w:val="single" w:sz="8" w:space="0" w:color="000000"/>
            </w:tcBorders>
            <w:shd w:fill="FFFFFF" w:val="cle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8" w:type="dxa"/>
            <w:tcBorders>
              <w:bottom w:val="single" w:sz="8" w:space="0" w:color="000000"/>
            </w:tcBorders>
            <w:shd w:fill="FFFFFF" w:val="clear"/>
            <w:vAlign w:val="center"/>
          </w:tcPr>
          <w:p>
            <w:pPr>
              <w:pStyle w:val="TableContents"/>
              <w:bidi w:val="0"/>
              <w:spacing w:before="0" w:after="283"/>
              <w:jc w:val="left"/>
              <w:rPr/>
            </w:pPr>
            <w:r>
              <w:rPr/>
              <w:t> </w:t>
            </w:r>
          </w:p>
        </w:tc>
        <w:tc>
          <w:tcPr>
            <w:tcW w:w="732" w:type="dxa"/>
            <w:tcBorders>
              <w:bottom w:val="single" w:sz="8" w:space="0" w:color="000000"/>
            </w:tcBorders>
            <w:shd w:fill="FFFFFF" w:val="clear"/>
            <w:vAlign w:val="center"/>
          </w:tcPr>
          <w:p>
            <w:pPr>
              <w:pStyle w:val="TableContents"/>
              <w:bidi w:val="0"/>
              <w:spacing w:before="0" w:after="283"/>
              <w:jc w:val="righ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9" w:type="dxa"/>
            <w:tcBorders>
              <w:bottom w:val="single" w:sz="8" w:space="0" w:color="000000"/>
            </w:tcBorders>
            <w:shd w:fill="FFFFFF" w:val="clear"/>
            <w:vAlign w:val="center"/>
          </w:tcPr>
          <w:p>
            <w:pPr>
              <w:pStyle w:val="TableContents"/>
              <w:bidi w:val="0"/>
              <w:spacing w:before="0" w:after="283"/>
              <w:jc w:val="left"/>
              <w:rPr/>
            </w:pPr>
            <w:r>
              <w:rPr/>
              <w:t> </w:t>
            </w:r>
          </w:p>
        </w:tc>
        <w:tc>
          <w:tcPr>
            <w:tcW w:w="661" w:type="dxa"/>
            <w:tcBorders>
              <w:bottom w:val="single" w:sz="8" w:space="0" w:color="000000"/>
            </w:tcBorders>
            <w:shd w:fill="FFFFFF" w:val="clear"/>
            <w:vAlign w:val="center"/>
          </w:tcPr>
          <w:p>
            <w:pPr>
              <w:pStyle w:val="TableContents"/>
              <w:bidi w:val="0"/>
              <w:spacing w:before="0" w:after="283"/>
              <w:jc w:val="righ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94" w:type="dxa"/>
            <w:tcBorders>
              <w:bottom w:val="single" w:sz="8" w:space="0" w:color="000000"/>
            </w:tcBorders>
            <w:shd w:fill="FFFFFF" w:val="clear"/>
            <w:vAlign w:val="center"/>
          </w:tcPr>
          <w:p>
            <w:pPr>
              <w:pStyle w:val="TableContents"/>
              <w:bidi w:val="0"/>
              <w:spacing w:before="0" w:after="283"/>
              <w:jc w:val="left"/>
              <w:rPr/>
            </w:pPr>
            <w:r>
              <w:rPr/>
              <w:t> </w:t>
            </w:r>
          </w:p>
        </w:tc>
        <w:tc>
          <w:tcPr>
            <w:tcW w:w="916" w:type="dxa"/>
            <w:tcBorders>
              <w:bottom w:val="single" w:sz="8" w:space="0" w:color="000000"/>
            </w:tcBorders>
            <w:shd w:fill="FFFFFF" w:val="clear"/>
            <w:vAlign w:val="center"/>
          </w:tcPr>
          <w:p>
            <w:pPr>
              <w:pStyle w:val="TableContents"/>
              <w:bidi w:val="0"/>
              <w:spacing w:before="0" w:after="283"/>
              <w:jc w:val="righ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bottom w:val="single" w:sz="8" w:space="0" w:color="000000"/>
            </w:tcBorders>
            <w:shd w:fill="FFFFFF" w:val="clear"/>
            <w:vAlign w:val="center"/>
          </w:tcPr>
          <w:p>
            <w:pPr>
              <w:pStyle w:val="TableContents"/>
              <w:bidi w:val="0"/>
              <w:spacing w:before="0" w:after="283"/>
              <w:jc w:val="left"/>
              <w:rPr/>
            </w:pPr>
            <w:r>
              <w:rPr/>
              <w:t> </w:t>
            </w:r>
          </w:p>
        </w:tc>
        <w:tc>
          <w:tcPr>
            <w:tcW w:w="590" w:type="dxa"/>
            <w:tcBorders>
              <w:bottom w:val="single" w:sz="8" w:space="0" w:color="000000"/>
            </w:tcBorders>
            <w:shd w:fill="FFFFFF" w:val="cle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r>
      <w:tr>
        <w:trPr/>
        <w:tc>
          <w:tcPr>
            <w:tcW w:w="496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BALANCE — December 31, 2023</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59"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1" w:type="dxa"/>
            <w:tcBorders>
              <w:bottom w:val="single" w:sz="8" w:space="0" w:color="000000"/>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8"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2"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4,429</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9"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1"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9,332</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94"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6" w:type="dxa"/>
            <w:tcBorders>
              <w:bottom w:val="single" w:sz="8" w:space="0" w:color="000000"/>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13,761</w:t>
            </w:r>
          </w:p>
        </w:tc>
        <w:tc>
          <w:tcPr>
            <w:tcW w:w="9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96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9" w:type="dxa"/>
            <w:tcBorders/>
            <w:shd w:fill="FFFFFF" w:val="clear"/>
            <w:tcMar>
              <w:bottom w:w="0" w:type="dxa"/>
            </w:tcMar>
            <w:vAlign w:val="center"/>
          </w:tcPr>
          <w:p>
            <w:pPr>
              <w:pStyle w:val="TableContents"/>
              <w:bidi w:val="0"/>
              <w:spacing w:before="0" w:after="283"/>
              <w:jc w:val="left"/>
              <w:rPr/>
            </w:pPr>
            <w:r>
              <w:rPr/>
              <w:t> </w:t>
            </w:r>
          </w:p>
        </w:tc>
        <w:tc>
          <w:tcPr>
            <w:tcW w:w="541"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8" w:type="dxa"/>
            <w:tcBorders/>
            <w:shd w:fill="FFFFFF" w:val="clear"/>
            <w:tcMar>
              <w:bottom w:w="0" w:type="dxa"/>
            </w:tcMar>
            <w:vAlign w:val="center"/>
          </w:tcPr>
          <w:p>
            <w:pPr>
              <w:pStyle w:val="TableContents"/>
              <w:bidi w:val="0"/>
              <w:spacing w:before="0" w:after="283"/>
              <w:jc w:val="left"/>
              <w:rPr/>
            </w:pPr>
            <w:r>
              <w:rPr/>
              <w:t> </w:t>
            </w:r>
          </w:p>
        </w:tc>
        <w:tc>
          <w:tcPr>
            <w:tcW w:w="732" w:type="dxa"/>
            <w:tcBorders/>
            <w:shd w:fill="FFFFFF" w:val="clear"/>
            <w:tcMar>
              <w:bottom w:w="0" w:type="dxa"/>
            </w:tcMar>
            <w:vAlign w:val="center"/>
          </w:tcPr>
          <w:p>
            <w:pPr>
              <w:pStyle w:val="TableContents"/>
              <w:bidi w:val="0"/>
              <w:spacing w:before="0" w:after="283"/>
              <w:jc w:val="righ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9" w:type="dxa"/>
            <w:tcBorders/>
            <w:shd w:fill="FFFFFF" w:val="clear"/>
            <w:tcMar>
              <w:bottom w:w="0" w:type="dxa"/>
            </w:tcMar>
            <w:vAlign w:val="center"/>
          </w:tcPr>
          <w:p>
            <w:pPr>
              <w:pStyle w:val="TableContents"/>
              <w:bidi w:val="0"/>
              <w:spacing w:before="0" w:after="283"/>
              <w:jc w:val="left"/>
              <w:rPr/>
            </w:pPr>
            <w:r>
              <w:rPr/>
              <w:t> </w:t>
            </w:r>
          </w:p>
        </w:tc>
        <w:tc>
          <w:tcPr>
            <w:tcW w:w="661" w:type="dxa"/>
            <w:tcBorders/>
            <w:shd w:fill="FFFFFF" w:val="clear"/>
            <w:tcMar>
              <w:bottom w:w="0" w:type="dxa"/>
            </w:tcMar>
            <w:vAlign w:val="center"/>
          </w:tcPr>
          <w:p>
            <w:pPr>
              <w:pStyle w:val="TableContents"/>
              <w:bidi w:val="0"/>
              <w:spacing w:before="0" w:after="283"/>
              <w:jc w:val="righ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94" w:type="dxa"/>
            <w:tcBorders/>
            <w:shd w:fill="FFFFFF" w:val="clear"/>
            <w:tcMar>
              <w:bottom w:w="0" w:type="dxa"/>
            </w:tcMar>
            <w:vAlign w:val="center"/>
          </w:tcPr>
          <w:p>
            <w:pPr>
              <w:pStyle w:val="TableContents"/>
              <w:bidi w:val="0"/>
              <w:spacing w:before="0" w:after="283"/>
              <w:jc w:val="left"/>
              <w:rPr/>
            </w:pPr>
            <w:r>
              <w:rPr/>
              <w:t> </w:t>
            </w:r>
          </w:p>
        </w:tc>
        <w:tc>
          <w:tcPr>
            <w:tcW w:w="916" w:type="dxa"/>
            <w:tcBorders/>
            <w:shd w:fill="FFFFFF" w:val="clear"/>
            <w:tcMar>
              <w:bottom w:w="0" w:type="dxa"/>
            </w:tcMar>
            <w:vAlign w:val="center"/>
          </w:tcPr>
          <w:p>
            <w:pPr>
              <w:pStyle w:val="TableContents"/>
              <w:bidi w:val="0"/>
              <w:spacing w:before="0" w:after="283"/>
              <w:jc w:val="righ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590"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r>
      <w:tr>
        <w:trPr/>
        <w:tc>
          <w:tcPr>
            <w:tcW w:w="496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income</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59"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41"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8"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32"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9"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61"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1,725</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94"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16"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1,725</w:t>
            </w:r>
          </w:p>
        </w:tc>
        <w:tc>
          <w:tcPr>
            <w:tcW w:w="9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96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Dividends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59"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41"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8"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32"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9"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61"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94"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16"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w:t>
            </w:r>
          </w:p>
        </w:tc>
        <w:tc>
          <w:tcPr>
            <w:tcW w:w="9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96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9" w:type="dxa"/>
            <w:tcBorders>
              <w:bottom w:val="single" w:sz="8" w:space="0" w:color="000000"/>
            </w:tcBorders>
            <w:shd w:fill="CCEEFF" w:val="clear"/>
            <w:vAlign w:val="center"/>
          </w:tcPr>
          <w:p>
            <w:pPr>
              <w:pStyle w:val="TableContents"/>
              <w:bidi w:val="0"/>
              <w:spacing w:before="0" w:after="283"/>
              <w:jc w:val="left"/>
              <w:rPr/>
            </w:pPr>
            <w:r>
              <w:rPr/>
              <w:t> </w:t>
            </w:r>
          </w:p>
        </w:tc>
        <w:tc>
          <w:tcPr>
            <w:tcW w:w="541" w:type="dxa"/>
            <w:tcBorders>
              <w:bottom w:val="single" w:sz="8" w:space="0" w:color="000000"/>
            </w:tcBorders>
            <w:shd w:fill="CCEEFF" w:val="cle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8" w:type="dxa"/>
            <w:tcBorders>
              <w:bottom w:val="single" w:sz="8" w:space="0" w:color="000000"/>
            </w:tcBorders>
            <w:shd w:fill="CCEEFF" w:val="clear"/>
            <w:vAlign w:val="center"/>
          </w:tcPr>
          <w:p>
            <w:pPr>
              <w:pStyle w:val="TableContents"/>
              <w:bidi w:val="0"/>
              <w:spacing w:before="0" w:after="283"/>
              <w:jc w:val="left"/>
              <w:rPr/>
            </w:pPr>
            <w:r>
              <w:rPr/>
              <w:t> </w:t>
            </w:r>
          </w:p>
        </w:tc>
        <w:tc>
          <w:tcPr>
            <w:tcW w:w="732" w:type="dxa"/>
            <w:tcBorders>
              <w:bottom w:val="single" w:sz="8" w:space="0" w:color="000000"/>
            </w:tcBorders>
            <w:shd w:fill="CCEEFF" w:val="clear"/>
            <w:vAlign w:val="center"/>
          </w:tcPr>
          <w:p>
            <w:pPr>
              <w:pStyle w:val="TableContents"/>
              <w:bidi w:val="0"/>
              <w:spacing w:before="0" w:after="283"/>
              <w:jc w:val="righ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9" w:type="dxa"/>
            <w:tcBorders>
              <w:bottom w:val="single" w:sz="8" w:space="0" w:color="000000"/>
            </w:tcBorders>
            <w:shd w:fill="CCEEFF" w:val="clear"/>
            <w:vAlign w:val="center"/>
          </w:tcPr>
          <w:p>
            <w:pPr>
              <w:pStyle w:val="TableContents"/>
              <w:bidi w:val="0"/>
              <w:spacing w:before="0" w:after="283"/>
              <w:jc w:val="left"/>
              <w:rPr/>
            </w:pPr>
            <w:r>
              <w:rPr/>
              <w:t> </w:t>
            </w:r>
          </w:p>
        </w:tc>
        <w:tc>
          <w:tcPr>
            <w:tcW w:w="661" w:type="dxa"/>
            <w:tcBorders>
              <w:bottom w:val="single" w:sz="8" w:space="0" w:color="000000"/>
            </w:tcBorders>
            <w:shd w:fill="CCEEFF" w:val="clear"/>
            <w:vAlign w:val="center"/>
          </w:tcPr>
          <w:p>
            <w:pPr>
              <w:pStyle w:val="TableContents"/>
              <w:bidi w:val="0"/>
              <w:spacing w:before="0" w:after="283"/>
              <w:jc w:val="righ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94" w:type="dxa"/>
            <w:tcBorders>
              <w:bottom w:val="single" w:sz="8" w:space="0" w:color="000000"/>
            </w:tcBorders>
            <w:shd w:fill="CCEEFF" w:val="clear"/>
            <w:vAlign w:val="center"/>
          </w:tcPr>
          <w:p>
            <w:pPr>
              <w:pStyle w:val="TableContents"/>
              <w:bidi w:val="0"/>
              <w:spacing w:before="0" w:after="283"/>
              <w:jc w:val="left"/>
              <w:rPr/>
            </w:pPr>
            <w:r>
              <w:rPr/>
              <w:t> </w:t>
            </w:r>
          </w:p>
        </w:tc>
        <w:tc>
          <w:tcPr>
            <w:tcW w:w="916" w:type="dxa"/>
            <w:tcBorders>
              <w:bottom w:val="single" w:sz="8" w:space="0" w:color="000000"/>
            </w:tcBorders>
            <w:shd w:fill="CCEEFF" w:val="clear"/>
            <w:vAlign w:val="center"/>
          </w:tcPr>
          <w:p>
            <w:pPr>
              <w:pStyle w:val="TableContents"/>
              <w:bidi w:val="0"/>
              <w:spacing w:before="0" w:after="283"/>
              <w:jc w:val="righ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bottom w:val="single" w:sz="8" w:space="0" w:color="000000"/>
            </w:tcBorders>
            <w:shd w:fill="CCEEFF" w:val="clear"/>
            <w:vAlign w:val="center"/>
          </w:tcPr>
          <w:p>
            <w:pPr>
              <w:pStyle w:val="TableContents"/>
              <w:bidi w:val="0"/>
              <w:spacing w:before="0" w:after="283"/>
              <w:jc w:val="left"/>
              <w:rPr/>
            </w:pPr>
            <w:r>
              <w:rPr/>
              <w:t> </w:t>
            </w:r>
          </w:p>
        </w:tc>
        <w:tc>
          <w:tcPr>
            <w:tcW w:w="590" w:type="dxa"/>
            <w:tcBorders>
              <w:bottom w:val="single" w:sz="8" w:space="0" w:color="000000"/>
            </w:tcBorders>
            <w:shd w:fill="CCEEFF" w:val="cle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r>
      <w:tr>
        <w:trPr/>
        <w:tc>
          <w:tcPr>
            <w:tcW w:w="496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BALANCE — December 31, 2024</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59"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1" w:type="dxa"/>
            <w:tcBorders>
              <w:bottom w:val="single" w:sz="8" w:space="0" w:color="000000"/>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8"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32"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4,429</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9"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1"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10,057</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94"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6" w:type="dxa"/>
            <w:tcBorders>
              <w:bottom w:val="single" w:sz="8" w:space="0" w:color="000000"/>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14,486</w:t>
            </w:r>
          </w:p>
        </w:tc>
        <w:tc>
          <w:tcPr>
            <w:tcW w:w="9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96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59"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41"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8"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32"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9"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61"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(2,648</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94"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16"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(2,648</w:t>
            </w:r>
          </w:p>
        </w:tc>
        <w:tc>
          <w:tcPr>
            <w:tcW w:w="9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96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Contribution to capital from Cox Enterprises, Inc.</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59"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41"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8"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32"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9"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61"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94"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16"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w:t>
            </w:r>
          </w:p>
        </w:tc>
        <w:tc>
          <w:tcPr>
            <w:tcW w:w="9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96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Dividends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59"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1" w:type="dxa"/>
            <w:tcBorders>
              <w:bottom w:val="single" w:sz="8" w:space="0" w:color="000000"/>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8"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2" w:type="dxa"/>
            <w:tcBorders>
              <w:bottom w:val="single" w:sz="8" w:space="0" w:color="000000"/>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9"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1"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94"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6" w:type="dxa"/>
            <w:tcBorders>
              <w:bottom w:val="single" w:sz="8" w:space="0" w:color="000000"/>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w:t>
            </w:r>
          </w:p>
        </w:tc>
        <w:tc>
          <w:tcPr>
            <w:tcW w:w="9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96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BALANCE — December 31, 2025</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59" w:type="dxa"/>
            <w:tcBorders>
              <w:bottom w:val="double" w:sz="6" w:space="0" w:color="000000"/>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41" w:type="dxa"/>
            <w:tcBorders>
              <w:bottom w:val="double" w:sz="6" w:space="0" w:color="000000"/>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8" w:type="dxa"/>
            <w:tcBorders>
              <w:bottom w:val="double" w:sz="6" w:space="0" w:color="000000"/>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32" w:type="dxa"/>
            <w:tcBorders>
              <w:bottom w:val="double" w:sz="6"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4,540</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9" w:type="dxa"/>
            <w:tcBorders>
              <w:bottom w:val="double" w:sz="6" w:space="0" w:color="000000"/>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61" w:type="dxa"/>
            <w:tcBorders>
              <w:bottom w:val="double" w:sz="6"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6,409</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94" w:type="dxa"/>
            <w:tcBorders>
              <w:bottom w:val="double" w:sz="6" w:space="0" w:color="000000"/>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16" w:type="dxa"/>
            <w:tcBorders>
              <w:bottom w:val="double" w:sz="6" w:space="0" w:color="000000"/>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90" w:type="dxa"/>
            <w:tcBorders>
              <w:bottom w:val="double" w:sz="6"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10,949</w:t>
            </w:r>
          </w:p>
        </w:tc>
        <w:tc>
          <w:tcPr>
            <w:tcW w:w="9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notes to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COX COMMUNICATIONS,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Wholly-Owned Subsidiary of Cox Enterprises,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pBdr>
          <w:bottom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3573" w:type="dxa"/>
        <w:jc w:val="left"/>
        <w:tblInd w:w="0" w:type="dxa"/>
        <w:tblLayout w:type="fixed"/>
        <w:tblCellMar>
          <w:top w:w="0" w:type="dxa"/>
          <w:left w:w="0" w:type="dxa"/>
          <w:bottom w:w="0" w:type="dxa"/>
          <w:right w:w="0" w:type="dxa"/>
        </w:tblCellMar>
      </w:tblPr>
      <w:tblGrid>
        <w:gridCol w:w="38"/>
        <w:gridCol w:w="170"/>
        <w:gridCol w:w="33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b/>
                <w:sz w:val="20"/>
              </w:rPr>
            </w:pPr>
            <w:r>
              <w:rPr>
                <w:b/>
                <w:sz w:val="20"/>
              </w:rPr>
              <w:t>1.</w:t>
            </w:r>
          </w:p>
        </w:tc>
        <w:tc>
          <w:tcPr>
            <w:tcW w:w="3365" w:type="dxa"/>
            <w:tcBorders/>
            <w:vAlign w:val="center"/>
          </w:tcPr>
          <w:p>
            <w:pPr>
              <w:pStyle w:val="TableContents"/>
              <w:bidi w:val="0"/>
              <w:spacing w:before="0" w:after="283"/>
              <w:jc w:val="left"/>
              <w:rPr>
                <w:b/>
              </w:rPr>
            </w:pPr>
            <w:r>
              <w:rPr>
                <w:b/>
              </w:rPr>
              <w:t>DESCRIPTION OF BUSINESS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Communications, Inc. (together with its consolidated subsidiaries, "Cox" or "the Company"), a wholly-owned subsidiary of Cox Enterprises, Inc. ("CEI"), is committed to creating meaningful moments of human connection through technology. As the largest private broadband company in the United States, Cox operates fiber-powered networks in more than 30 states, providing connections and advanced managed IT and cloud services for homes and businesses. Cox Mobile, Cox's mobile phone service, is available across markets nationwide. The commercial division of Cox, Cox Business, provides a broad commercial solutions portfolio, including advanced managed IT and cloud services and fiber-based network solutions that support connected environments, unique hospitality experiences and diverse applications.</w:t>
      </w:r>
    </w:p>
    <w:p>
      <w:pPr>
        <w:pStyle w:val="TextBody"/>
        <w:bidi w:val="0"/>
        <w:spacing w:before="0" w:after="0"/>
        <w:ind w:left="0" w:right="0" w:hanging="0"/>
        <w:jc w:val="left"/>
        <w:rPr>
          <w:caps w:val="false"/>
          <w:smallCaps w:val="false"/>
        </w:rPr>
      </w:pPr>
      <w:r>
        <w:rPr>
          <w:caps w:val="false"/>
          <w:smallCaps w:val="false"/>
        </w:rPr>
        <w:t> </w:t>
      </w:r>
    </w:p>
    <w:tbl>
      <w:tblPr>
        <w:tblW w:w="6588" w:type="dxa"/>
        <w:jc w:val="left"/>
        <w:tblInd w:w="0" w:type="dxa"/>
        <w:tblLayout w:type="fixed"/>
        <w:tblCellMar>
          <w:top w:w="0" w:type="dxa"/>
          <w:left w:w="0" w:type="dxa"/>
          <w:bottom w:w="0" w:type="dxa"/>
          <w:right w:w="0" w:type="dxa"/>
        </w:tblCellMar>
      </w:tblPr>
      <w:tblGrid>
        <w:gridCol w:w="38"/>
        <w:gridCol w:w="170"/>
        <w:gridCol w:w="63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b/>
                <w:sz w:val="20"/>
              </w:rPr>
            </w:pPr>
            <w:r>
              <w:rPr>
                <w:b/>
                <w:sz w:val="20"/>
              </w:rPr>
              <w:t>2.</w:t>
            </w:r>
          </w:p>
        </w:tc>
        <w:tc>
          <w:tcPr>
            <w:tcW w:w="6380" w:type="dxa"/>
            <w:tcBorders/>
            <w:vAlign w:val="center"/>
          </w:tcPr>
          <w:p>
            <w:pPr>
              <w:pStyle w:val="TableContents"/>
              <w:bidi w:val="0"/>
              <w:spacing w:before="0" w:after="283"/>
              <w:jc w:val="left"/>
              <w:rPr>
                <w:b/>
              </w:rPr>
            </w:pPr>
            <w:r>
              <w:rPr>
                <w:b/>
              </w:rPr>
              <w:t>SUMMARY OF SIGNIFICANT ACCOUNTING POLICIES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Basis of Presentation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Consolidated Financial Statements have been prepared in accordance with accounting principles generally accepted in the United States of America ("GAAP") and include the accounts of Cox and all wholly-owned, majority-owned or controlled subsidiaries. All intercompany transactions and balances have been eliminated in consolidation. Cox has included the results of operations of acquired companies from the date of acquisition.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Use of Estimates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Consolidated Financial Statements in conformity with GAAP requires management to make estimates and assumptions that affect the reported amounts of certain assets and liabilities and disclosure of contingent assets and liabilities at the date of the Consolidated Financial Statements and the reported amounts of revenues and expenses during the reporting periods. Significant estimates include: (i) the useful lives and recoverability of amortizing and depreciating long-lived assets; (ii) the fair value of indefinite-lived intangible assets; (iii) the fair value of assets acquired and liabilities assumed in business combinations; (iv) capitalization rates for network construction and capital activity percentages for subscriber installation costs: (v) the determination of long-term incentive compensation expense; (vi) the determination of pension, postemployment and postretirement expense; and (vii) the accounting for income taxes. Cox evaluates its estimates and assumptions on an ongoing basis. Estimates are evaluated based on available information and historical experience, as well as other assumptions Cox believes reasonable under the circumstances. Actual results could differ from those estimates.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Business Combination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Assets acquired and liabilities assumed as part of a business combination are recorded at their fair value at the date of acquisition. The excess of purchase price over the fair value of assets acquired and liabilities assumed is recorded as goodwill. Determining fair value of identifiable assets, particularly intangible assets and liabilities acquired requires management to make estimates, which are based on all available information and in some cases, assumptions, with respect to the timing and amount of future revenues and expenses associated with an asset or liability.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-8-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Reclassifications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reclassifications have been made to prior year amounts to conform to the current year presentation.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Cash and Cash Equivalents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and cash equivalents include all highly liquid assets with maturities of three months or less at time of purchase. Cox receives day-to-day management services from CEI, with settlements of outstanding balances between Cox and CEI occurring periodically at market interest rates. These services include the sweep of Cox's deposited receipts into the CEI cash management system, as well as the coverage of Cox’s checks presented for payment, inclusive of payments for acquisitions, payroll and certain other operating and capital expenditures.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Accounts Receivable and Allowance for Credit Losses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receivable are recorded at net realizable value. Cox measures its credit losses using a current expected credit loss model. The measurement of expected credit losses is based on relevant information about past events, including historical experience, current conditions and reasonable and supportable forecasts that affect the collectability of the reported amount. The allowance for credit losses represents Cox's best estimate of probable future losses in the accounts receivable balance, primarily based on known troubled accounts, historical experience and other currently available evidence. Accounts receivable are written off against the allowance when Cox believes that the receivable will not be recovered.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Activity in the allowance for credit losses was as follows:</w:t>
      </w:r>
    </w:p>
    <w:p>
      <w:pPr>
        <w:pStyle w:val="TextBody"/>
        <w:bidi w:val="0"/>
        <w:spacing w:before="0" w:after="0"/>
        <w:ind w:left="0" w:right="0" w:hanging="0"/>
        <w:jc w:val="left"/>
        <w:rPr>
          <w:caps w:val="false"/>
          <w:smallCaps w:val="false"/>
        </w:rPr>
      </w:pPr>
      <w:r>
        <w:rPr>
          <w:caps w:val="false"/>
          <w:smallCaps w:val="false"/>
        </w:rPr>
        <w:t> </w:t>
      </w:r>
    </w:p>
    <w:tbl>
      <w:tblPr>
        <w:tblW w:w="4220" w:type="dxa"/>
        <w:jc w:val="left"/>
        <w:tblInd w:w="0" w:type="dxa"/>
        <w:tblLayout w:type="fixed"/>
        <w:tblCellMar>
          <w:top w:w="0" w:type="dxa"/>
          <w:left w:w="0" w:type="dxa"/>
          <w:bottom w:w="0" w:type="dxa"/>
          <w:right w:w="0" w:type="dxa"/>
        </w:tblCellMar>
      </w:tblPr>
      <w:tblGrid>
        <w:gridCol w:w="2465"/>
        <w:gridCol w:w="60"/>
        <w:gridCol w:w="132"/>
        <w:gridCol w:w="308"/>
        <w:gridCol w:w="80"/>
        <w:gridCol w:w="60"/>
        <w:gridCol w:w="132"/>
        <w:gridCol w:w="308"/>
        <w:gridCol w:w="80"/>
        <w:gridCol w:w="60"/>
        <w:gridCol w:w="132"/>
        <w:gridCol w:w="308"/>
        <w:gridCol w:w="95"/>
      </w:tblGrid>
      <w:tr>
        <w:trPr/>
        <w:tc>
          <w:tcPr>
            <w:tcW w:w="24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600"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6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millions)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2023</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Balance — beginning of year</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30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30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30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4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Charged to bad debt expense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0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0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0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4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Write-offs — net of recoveries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30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30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30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4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Balance — end of year</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2"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308"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2"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308"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2"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308"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-9-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Property and Equipment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and equipment, including internally developed software, are stated at cost, less accumulated depreciation. Depreciation is computed using the straight-line method over the assets' estimated useful lives. Depreciation commences on the date the assets are placed in service. Cox periodically evaluates the estimated useful lives of its property and equipment to determine whether events or circumstances warrant revised estimates. Changes in estimated useful lives are included prospectively in the period in which the changes occur. Expenditures for maintenance and repairs of property and equipment are expensed as incurred.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carrying amounts of property and equipment and related estimated useful lives are as follows:</w:t>
      </w:r>
    </w:p>
    <w:p>
      <w:pPr>
        <w:pStyle w:val="TextBody"/>
        <w:bidi w:val="0"/>
        <w:spacing w:before="0" w:after="0"/>
        <w:ind w:left="0" w:right="0" w:hanging="0"/>
        <w:jc w:val="left"/>
        <w:rPr>
          <w:caps w:val="false"/>
          <w:smallCaps w:val="false"/>
        </w:rPr>
      </w:pPr>
      <w:r>
        <w:rPr>
          <w:caps w:val="false"/>
          <w:smallCaps w:val="false"/>
        </w:rPr>
        <w:t> </w:t>
      </w:r>
    </w:p>
    <w:tbl>
      <w:tblPr>
        <w:tblW w:w="9250" w:type="dxa"/>
        <w:jc w:val="left"/>
        <w:tblInd w:w="0" w:type="dxa"/>
        <w:tblLayout w:type="fixed"/>
        <w:tblCellMar>
          <w:top w:w="0" w:type="dxa"/>
          <w:left w:w="0" w:type="dxa"/>
          <w:bottom w:w="0" w:type="dxa"/>
          <w:right w:w="0" w:type="dxa"/>
        </w:tblCellMar>
      </w:tblPr>
      <w:tblGrid>
        <w:gridCol w:w="6050"/>
        <w:gridCol w:w="60"/>
        <w:gridCol w:w="1295"/>
        <w:gridCol w:w="60"/>
        <w:gridCol w:w="125"/>
        <w:gridCol w:w="650"/>
        <w:gridCol w:w="80"/>
        <w:gridCol w:w="60"/>
        <w:gridCol w:w="125"/>
        <w:gridCol w:w="650"/>
        <w:gridCol w:w="95"/>
      </w:tblGrid>
      <w:tr>
        <w:trPr/>
        <w:tc>
          <w:tcPr>
            <w:tcW w:w="60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69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05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millions, except for useful lives)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9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Estimated</w:t>
              <w:br/>
              <w:t>Useful Lives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0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Transmission and distribution facilities</w:t>
              <w:tab/>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9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3 - 20 years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20,464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19,836</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0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Computer hardware and software</w:t>
              <w:tab/>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9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3 - 5 years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5,394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5,209</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0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Customer premise equipment</w:t>
              <w:tab/>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9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3 - 7 years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2,078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2,702</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0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Finance lease assets</w:t>
              <w:tab/>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9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Various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1,028</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0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Buildings and building improvements, including leasehold improvements</w:t>
              <w:tab/>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9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10 - 39 years </w:t>
            </w:r>
            <w:r>
              <w:rPr>
                <w:rFonts w:ascii="Times New Roman;Times;Serif" w:hAnsi="Times New Roman;Times;Serif"/>
                <w:b w:val="false"/>
                <w:i w:val="false"/>
                <w:caps w:val="false"/>
                <w:smallCaps w:val="false"/>
                <w:position w:val="7"/>
                <w:sz w:val="16"/>
                <w:sz w:val="20"/>
              </w:rPr>
              <w:t>(a)</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1,266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1,245</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0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Construction-in-progress</w:t>
              <w:tab/>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9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0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property and equipment</w:t>
              <w:tab/>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9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2 - 10 years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731</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0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Land and land improvements</w:t>
              <w:tab/>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9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years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114</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0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and equipment—at cost</w:t>
              <w:tab/>
            </w:r>
          </w:p>
        </w:tc>
        <w:tc>
          <w:tcPr>
            <w:tcW w:w="6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32,153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31,795</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0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Less accumulated depreciation</w:t>
              <w:tab/>
            </w:r>
          </w:p>
        </w:tc>
        <w:tc>
          <w:tcPr>
            <w:tcW w:w="6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(19,550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(19,579</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0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Property and equipment—net </w:t>
            </w:r>
            <w:r>
              <w:rPr>
                <w:rFonts w:ascii="Times New Roman;Times;Serif" w:hAnsi="Times New Roman;Times;Serif"/>
                <w:b w:val="false"/>
                <w:i w:val="false"/>
                <w:caps w:val="false"/>
                <w:smallCaps w:val="false"/>
                <w:position w:val="7"/>
                <w:sz w:val="16"/>
                <w:sz w:val="20"/>
              </w:rPr>
              <w:t>(b)</w:t>
            </w:r>
            <w:r>
              <w:rPr>
                <w:rFonts w:ascii="Times New Roman;Times;Serif" w:hAnsi="Times New Roman;Times;Serif"/>
                <w:b w:val="false"/>
                <w:i w:val="false"/>
                <w:caps w:val="false"/>
                <w:smallCaps w:val="false"/>
                <w:sz w:val="20"/>
              </w:rPr>
              <w:tab/>
            </w:r>
          </w:p>
        </w:tc>
        <w:tc>
          <w:tcPr>
            <w:tcW w:w="6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12,603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12,216</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(a)</w:t>
      </w:r>
      <w:r>
        <w:rPr>
          <w:rFonts w:ascii="Times New Roman;Times;Serif" w:hAnsi="Times New Roman;Times;Serif"/>
          <w:b w:val="false"/>
          <w:i w:val="false"/>
          <w:caps w:val="false"/>
          <w:smallCaps w:val="false"/>
          <w:sz w:val="20"/>
        </w:rPr>
        <w:t> Leasehold improvements are depreciated over the lesser of the asset's estimated useful life or lease term.</w:t>
      </w:r>
    </w:p>
    <w:p>
      <w:pPr>
        <w:pStyle w:val="TextBody"/>
        <w:bidi w:val="0"/>
        <w:spacing w:before="0" w:after="0"/>
        <w:ind w:left="360" w:right="0" w:hanging="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(b) </w:t>
      </w:r>
      <w:r>
        <w:rPr>
          <w:rFonts w:ascii="Times New Roman;Times;Serif" w:hAnsi="Times New Roman;Times;Serif"/>
          <w:b w:val="false"/>
          <w:i w:val="false"/>
          <w:caps w:val="false"/>
          <w:smallCaps w:val="false"/>
          <w:sz w:val="20"/>
        </w:rPr>
        <w:t>Includes ROU assets under finance leases totaling $645 million and $376 million as of December 31, 2025 and 2024,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expense, inclusive of finance lease amortization, totaled $2.1 billion for the years ended December 31, 2025, 2024 and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capitalizes costs associated with the construction of and improvements to its cable transmission and distribution facilities, costs associated with acquiring and deploying new Cox-owned customer premise equipment and costs associated with installation of its services in accordance with accounting guidance related to cable television companies. Capitalized costs include all direct labor and materials, as well as certain indirect costs, which include employee salaries and benefits, third-party labor costs, warehousing costs and transportation costs. For network construction, Cox uses standard capitalization rates for direct labor and indirect costs. The capitalization rates are reviewed at least annually and any changes to the estimates, which may be significant, are included prospectively in the period in which the evaluations are completed. For subscriber installation costs, Cox uses estimated capital activity percentages related to building or rebuilding cable drop assets or deploying new Cox-owned customer premise equipment and applies the percentages to actual direct and indirect costs incurred in the period. Costs associated with subsequent installations of additional services are capitalized to the extent that they are directly attributable to building or rebuilding of cable drop assets or deploying new Cox-owned customer premise equipment. Costs associated with subsequent disconnection and reconnection services to existing customers are charged to cost of services as incurred.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Capitalization of internally developed software costs occurs during the application development stage. Costs incurred during the preliminary project and post implementation stages, including maintenance and training costs, are expensed as incurred. Cox also capitalizes certain costs associated with the purchase of software licenses. Expenditures for maintenance and repairs of property and equipment are expensed as incurred.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time of retirements, sales or other dispositions of property and equipment, the original cost and related accumulated depreciation are removed from the respective accounts and the gains and losses are presented in the Consolidated Statements of Operations as other — net.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Goodwill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Valuation of Goodwill</w:t>
      </w:r>
      <w:r>
        <w:rPr>
          <w:rFonts w:ascii="Times New Roman;Times;Serif" w:hAnsi="Times New Roman;Times;Serif"/>
          <w:b w:val="false"/>
          <w:i w:val="false"/>
          <w:caps w:val="false"/>
          <w:smallCaps w:val="false"/>
          <w:sz w:val="20"/>
        </w:rPr>
        <w:t xml:space="preserve"> — Cox tests goodwill for impairment at the reporting unit level. Cox is required to perform a goodwill impairment test annually and between annual tests when an event or circumstance indicates that the fair value of a reporting unit may be less than its carrying amount. Goodwill is tested for impairment as of December 31 each year. Cox has determined it has four reporting units: Residential, Commercial Core, Fiber and Media. Cox has the option to first assess qualitative factors to determine whether it is more-likely-than-not that the carrying value of a reporting unit exceeds its fair value. Cox evaluates the impact of various factors to the expected cash flows attributable to the reporting unit, as well as other valuation assumptions that may impact fair value, including macroeconomic and industry conditions and the overall financial performance of the reporting unit. If the reporting unit passes the qualitative assessment, no further testing is required. If a qualitative assessment indicates that goodwill is more-likely-than-not impaired, Cox must perform a quantitative test to compare the fair value of the reporting unit to its carrying value, including goodwill. The goodwill impairment amount, if any, represents the excess of the reporting unit's carrying amount over its fair value, limited to the total amount of goodwill allocated to the reporting unit.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Intangible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Finite-Lived Intangible Assets</w:t>
      </w:r>
      <w:r>
        <w:rPr>
          <w:rFonts w:ascii="Times New Roman;Times;Serif" w:hAnsi="Times New Roman;Times;Serif"/>
          <w:b w:val="false"/>
          <w:i w:val="false"/>
          <w:caps w:val="false"/>
          <w:smallCaps w:val="false"/>
          <w:sz w:val="20"/>
        </w:rPr>
        <w:t xml:space="preserve"> — Cox's intangible assets subject to amortization are comprised primarily of franchise renewal and contribution costs, customer relationships, trade names and other contractual rights. Finite-lived intangible assets are amortized on a straight-line basis over the term of the related agreements or estimated useful lives. Cox periodically evaluates the estimated useful lives of its finite-lived intangible assets to determine whether events or circumstances warrant revised estimates. Any changes in estimated useful lives are included prospectively in the period in which the changes occur.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Indefinite-Lived Intangible Assets — </w:t>
      </w:r>
      <w:r>
        <w:rPr>
          <w:rFonts w:ascii="Times New Roman;Times;Serif" w:hAnsi="Times New Roman;Times;Serif"/>
          <w:b w:val="false"/>
          <w:i w:val="false"/>
          <w:caps w:val="false"/>
          <w:smallCaps w:val="false"/>
          <w:sz w:val="20"/>
        </w:rPr>
        <w:t>Indefinite-lived intangible assets (primarily cable franchise value, trade names and CBRS spectrum licenses) are not amortized but instead are tested for impairment as described below. Additionally, indefinite-lived intangible assets are reassessed each reporting period to determine whether events or circumstances continue to support indefinite useful life classification.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constructs and operates its cable systems under nonexclusive cable franchise rights that are granted by state or local governmental authorities. Cox obtained these franchise rights primarily through acquisitions of cable systems accounted for as business combinations.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local governmental authorities generally issue cable television franchises for a fixed period, typically 10 to 15 years and those franchises are subject to renewal pursuant to federal procedural and substantive requirements that create a significant expectation of franchise renewals. Cox has determined that its cable franchise value has an indefinite useful life primarily because (i) there are no legal, regulatory, contractual, competitive, economic or other factors limiting the period over which the cable franchise rights will continue to contribute to Cox's cash flows, (ii) Cox has never had a cable franchise right revoked and has never been denied a franchise renewal, (iii) Cox's renewal applications are granted by franchising authorities on their own merit and not as part of a comparative process with competing applications and (iv) under the Cable Communications Policy Act of 1984, franchising authorities may not unreasonably withhold renewals of cable system franchises. Cox will continue to reevaluate the expected life of its cable franchise rights each reporting period to determine whether events and circumstances continue to support an indefinite useful life.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Cox trade name intangible asset, which represents the value associated with the Cox business name, is deemed to have an indefinite useful life, as the asset is expected to contribute to Cox's cash flows for the foreseeable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CBRS spectrum licenses are deemed to have an indefinite useful life because there are no legal, regulatory, contractual, competitive, economic or other factors, which limit the period over which these rights will contribute to Cox's cash flows.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Valuation of Indefinite-Lived Intangible Assets — </w:t>
      </w:r>
      <w:r>
        <w:rPr>
          <w:rFonts w:ascii="Times New Roman;Times;Serif" w:hAnsi="Times New Roman;Times;Serif"/>
          <w:b w:val="false"/>
          <w:i w:val="false"/>
          <w:caps w:val="false"/>
          <w:smallCaps w:val="false"/>
          <w:sz w:val="20"/>
        </w:rPr>
        <w:t>Cox tests its indefinite-lived intangible assets for impairment annually as of December 31 and between annual tests if events or changes in circumstances indicate that the asset might be impaired. For its annual impairment test of indefinite-lived intangible assets, Cox performs either a quantitative or qualitative assessment. In qualitatively assessing whether it is more-likely-than-not that an indefinite-lived intangible asset is impaired, Cox assesses relevant events and circumstances that could affect the significant inputs used to determine the fair value of the asset, including industry and market considerations, financial performance and legal and regulatory factors. However, if the indefinite-lived intangible asset does not pass the qualitative assessment, then Cox will perform a quantitative impairment test. When performing a quantitative assessment, if an asset's carrying value exceeds its estimated fair value, an impairment charge is measured and recorded in an amount equal to the excess.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Assumptions about the economy, future cash flows, growth rates, discount rates and other inputs used in developing fair value estimates are subjective. Cox considers the assumptions it uses in fair value estimates to be reasonable. Cox maximizes the use of relevant observable inputs and minimizes the use of unobservable inputs. Cox's use of unobservable inputs reflects the assumptions that market participants would use and may include Cox's own data adjusted based on reasonably available information. Changes in key estimates in future quantitative assessments, such as projected cash flows, competitive factors, discount rates and value of market transactions, may adversely impact the results of future impairment testing and could necessitate the recognition of an impairment charge.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evaluates the unit of accounting periodically to ensure its impairment testing is performed at an appropriate level. For the year ended December 31, 2025, Cox evaluated its cable franchise value assets and the Cox trade name asset as one unit of accounting, and the CBRS Spectrum licenses were evaluated as three units of accounting, to align with the way the Company anticipates the assets to be utilized.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Valuation of Long-Lived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evaluates long-lived assets as an asset group at the entity level. Cox evaluates long-lived assets (including property and equipment and finite-lived intangible assets) for impairment when events or circumstances indicate that the carrying amount of an asset group may not be recoverable. Conditions that would necessitate an impairment assessment include a significant decline in the observable market value of an asset group, a significant change in the extent or manner in which an asset group is used, or a significant adverse change that would indicate that the carrying amount of an asset group is not recoverable. For long-lived assets to be held and used, Cox recognizes an impairment loss only if an asset group's carrying amount is not recoverable through the sum of the undiscounted cash flows expected to result from the use and eventual disposition of the asset group. The impairment loss of the asset group is measured based on the excess of the carrying amount over fair value. Fair value is generally determined using quoted market values or discounted cash flow analyses, as applicable. Long-lived assets or asset groups held for sale are reported at the lower of cost or fair value less costs to sell.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Leases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determines if an arrangement is a lease at inception. Cox’s main categories of leased asset classes include real estate, dark fiber, colocation facilities and other equipment. Some of the leases contain escalation clauses and may also contain renewal provisions upon the expiration of the initial lease term.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lease right-of-use ("ROU") assets represent Cox’s right to use an underlying asset for the lease term and operating lease liabilities represent Cox’s obligation to make lease payments arising from the lease. Operating lease ROU assets and liabilities are recognized at commencement date based on the present value of lease payments over the lease term, including any lease payments made and excluding lease incentives. The lease terms may include options to extend or terminate when it is reasonably certain that Cox will exercise that option. As most of Cox’s leases do not provide an implicit rate, Cox generally uses its incremental borrowing rate based on the estimated rate of interest for collateralized borrowing over a similar term of the lease payments at commencement date. Rent expense for operating leases is recognized on a straight-line basis over the lease term. Cox elected to account for the lease components and non-lease components as a single lease component and therefore, includes all fixed payments in the calculation of the operating lease ROU assets and liabilities. In addition to fixed lease payments, certain of Cox’s lease agreements include variable lease payments, which are tied to an index or rate such as the Consumer Price Index. Variable lease payments are not included in the calculation of the operating lease ROU assets and liabilities, but are disclosed. For certain equipment leases, Cox applies a portfolio approach to effectively account for the operating lease ROU assets and liabilities. Leases with a base rental period of less than 12 months are not recorded on Cox’s Consolidated Balance Sheet.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Cox’s primary source of lease income is related to leases of dark fiber through its subsidiaries Unite Private Networks ("UPN") and Segra and the carrier services division of Cox Business. Cox accounts for dark fiber leases by recognizing revenue on a straight-line basis ratably over the lease term. Cox also has lease income through the sublease of certain real estate properties. Cox's lease revenue was $133 million, $128 million and $129 million for the years ended December 31, 2025, 2024 and 2023,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Revenue Recognition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Cox's revenues by service line are as follows:</w:t>
      </w:r>
    </w:p>
    <w:p>
      <w:pPr>
        <w:pStyle w:val="TextBody"/>
        <w:bidi w:val="0"/>
        <w:spacing w:before="0" w:after="0"/>
        <w:ind w:left="0" w:right="0" w:hanging="0"/>
        <w:jc w:val="left"/>
        <w:rPr>
          <w:caps w:val="false"/>
          <w:smallCaps w:val="false"/>
        </w:rPr>
      </w:pPr>
      <w:r>
        <w:rPr>
          <w:caps w:val="false"/>
          <w:smallCaps w:val="false"/>
        </w:rPr>
        <w:t> </w:t>
      </w:r>
    </w:p>
    <w:tbl>
      <w:tblPr>
        <w:tblW w:w="3890" w:type="dxa"/>
        <w:jc w:val="left"/>
        <w:tblInd w:w="0" w:type="dxa"/>
        <w:tblLayout w:type="fixed"/>
        <w:tblCellMar>
          <w:top w:w="0" w:type="dxa"/>
          <w:left w:w="0" w:type="dxa"/>
          <w:bottom w:w="0" w:type="dxa"/>
          <w:right w:w="0" w:type="dxa"/>
        </w:tblCellMar>
      </w:tblPr>
      <w:tblGrid>
        <w:gridCol w:w="1370"/>
        <w:gridCol w:w="60"/>
        <w:gridCol w:w="125"/>
        <w:gridCol w:w="590"/>
        <w:gridCol w:w="60"/>
        <w:gridCol w:w="60"/>
        <w:gridCol w:w="125"/>
        <w:gridCol w:w="590"/>
        <w:gridCol w:w="60"/>
        <w:gridCol w:w="60"/>
        <w:gridCol w:w="125"/>
        <w:gridCol w:w="590"/>
        <w:gridCol w:w="75"/>
      </w:tblGrid>
      <w:tr>
        <w:trPr/>
        <w:tc>
          <w:tcPr>
            <w:tcW w:w="13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385"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Years Ended December 31,</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37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millions)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2023</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3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Residential</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13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Data</w:t>
              <w:tab/>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5,706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6,026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6,079</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3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Video</w:t>
              <w:tab/>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2,397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2,530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2,749</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3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Telephony</w:t>
              <w:tab/>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294</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3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Other </w:t>
            </w:r>
            <w:r>
              <w:rPr>
                <w:rFonts w:ascii="Times New Roman;Times;Serif" w:hAnsi="Times New Roman;Times;Serif"/>
                <w:b w:val="false"/>
                <w:i w:val="false"/>
                <w:caps w:val="false"/>
                <w:smallCaps w:val="false"/>
                <w:position w:val="7"/>
                <w:sz w:val="16"/>
                <w:sz w:val="20"/>
              </w:rPr>
              <w:t>(a)</w:t>
            </w:r>
            <w:r>
              <w:rPr>
                <w:rFonts w:ascii="Times New Roman;Times;Serif" w:hAnsi="Times New Roman;Times;Serif"/>
                <w:b w:val="false"/>
                <w:i w:val="false"/>
                <w:caps w:val="false"/>
                <w:smallCaps w:val="false"/>
                <w:sz w:val="20"/>
              </w:rPr>
              <w:tab/>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3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residential</w:t>
              <w:tab/>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8,851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9,340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9,682</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3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13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Commercial</w:t>
              <w:tab/>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3,472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3,417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3,365</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3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Advertising</w:t>
              <w:tab/>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279</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3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revenues</w:t>
              <w:tab/>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9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12,531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9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13,073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9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13,326</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(a) </w:t>
      </w:r>
      <w:r>
        <w:rPr>
          <w:rFonts w:ascii="Times New Roman;Times;Serif" w:hAnsi="Times New Roman;Times;Serif"/>
          <w:b w:val="false"/>
          <w:i w:val="false"/>
          <w:caps w:val="false"/>
          <w:smallCaps w:val="false"/>
          <w:sz w:val="20"/>
        </w:rPr>
        <w:t>Other residential revenue includes franchise, regulatory and customer late fees, service protection fees, Cox Mobile and other miscellaneous revenues.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Residential</w:t>
      </w:r>
      <w:r>
        <w:rPr>
          <w:rFonts w:ascii="Times New Roman;Times;Serif" w:hAnsi="Times New Roman;Times;Serif"/>
          <w:b w:val="false"/>
          <w:i w:val="false"/>
          <w:caps w:val="false"/>
          <w:smallCaps w:val="false"/>
          <w:sz w:val="20"/>
        </w:rPr>
        <w:t xml:space="preserve"> — Cox generates revenues from subscription services to residential customers including internet, mobile, video, telephone and automation services. Cox considers each subscription service a distinct performance obligation and recognizes revenues on a monthly basis as the subscription service is provided. Residential contracts are generally month-to-month and customers can cancel at any time. Cox generally accounts for non-subscription services as distinct performance obligations and recognizes the revenue when the service is provided.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Residential internet offerings include several packages of high-speed internet with varying upload and download speeds, in-home WiFi service, out-of-home WiFi service and an internet security suite. Residential internet revenues primarily consist of subscription service tier revenue, equipment rental and installation revenue.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Mobile revenue consists of device sales and subscription revenues for unlimited talk and text and two packages to pay for gig usage. Revenue for the sale of devices is recognized upon sale. Subscription revenues for mobile are consistent with Cox's other month-to-month services described above, where customers are billed monthly for access to and usage of Cox's mobile services.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Residential video revenues primarily consist of subscription revenues for programming tiers, video on demand, pay per view, regulatory fees, equipment rental and installation revenue. Residential video subscribers may add additional video services offerings such as programming tiers, premium channels and streaming apps, in addition to non-subscription services such as video on demand programming and pay per view programming on per event pricing.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Residential telephony and automation services are also included in the service offerings with various options for each. Residential telephony revenues primarily consist of subscription service tier revenue, usage charges and regulatory fees. Cox offers residential smart home lighting and home automation. Automation revenues consist of subscription services or home automation, equipment sales and installation revenues.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all residential subscription services, Cox determined upfront installation fees represent a material right, which provides the residential customer with the right to renew its service at a discount. Cox is amortizing the related revenue over the expected period of benefit of six months, which Cox determined on a portfolio basis.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Commercial </w:t>
      </w:r>
      <w:r>
        <w:rPr>
          <w:rFonts w:ascii="Times New Roman;Times;Serif" w:hAnsi="Times New Roman;Times;Serif"/>
          <w:b w:val="false"/>
          <w:i w:val="false"/>
          <w:caps w:val="false"/>
          <w:smallCaps w:val="false"/>
          <w:sz w:val="20"/>
        </w:rPr>
        <w:t>— The commercial division of Cox, Cox Business, provides a broad commercial solutions portfolio, including advanced managed IT and cloud services and fiber-based network solutions that support connected environments, unique hospitality experiences and diverse applications.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Commercial revenues primarily consist of subscription revenue, equipment rental, regulatory fees, usage charges and installation revenue. Cox recognizes revenues from commercial subscription services as the services are provided on a monthly basis and each service is accounted for as a distinct performance obligation. Commercial services are offered primarily as a subscription initially under contract. Commercial customers typically have an initial stated non-cancelable contract term with a substantive early termination clause. Subscription rates and related charges vary according to the services and features commercial customers receive. Commercial subscription revenue is recognized on a monthly basis as the related service is performed. Cox recognizes commercial non-subscription services such as pay per view and video on demand and usage charges when the service is provided. Cox determined that commercial upfront installation services are not a separate performance obligation but rather a component of the related subscription service. Therefore, upfront installation fees are deferred and recognized as revenue over the related average contract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Advertising </w:t>
      </w:r>
      <w:r>
        <w:rPr>
          <w:rFonts w:ascii="Times New Roman;Times;Serif" w:hAnsi="Times New Roman;Times;Serif"/>
          <w:b w:val="false"/>
          <w:i w:val="false"/>
          <w:caps w:val="false"/>
          <w:smallCaps w:val="false"/>
          <w:sz w:val="20"/>
        </w:rPr>
        <w:t>— Cox Media, Cox’s advertising sales division, generates revenues from the sale of advertising inventory on cable television networks and digital media platforms, such as online, video-on-demand and mobile to local, regional and national businesses. Each advertisement placed is considered a distinct performance obligation and revenue is recognized in the period that the advertisement is broadcast. In addition to representing Cox, Cox Media has entered into contracts to represent other multi-video programming distributors in their advertising sales efforts. Cox has analyzed the representation contracts and determined that the company coordinating the sales efforts is the principal in the revenue contract because it controls the specified service before that good or service is transferred to a customer. When Cox is controlling the advertising sales effort for other distributors, it is acting as the principal in these arrangements and recognizes the revenue earned from the advertising customer on a gross basis and the amounts remitted to such distributor as cost of services. In some cases, another distributor controls the advertising sales efforts on behalf of Cox in certain markets. Cox is acting as an agent in these scenarios and records the revenue net of any fees retained by the distributor.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Timing of revenue </w:t>
      </w:r>
      <w:r>
        <w:rPr>
          <w:rFonts w:ascii="Times New Roman;Times;Serif" w:hAnsi="Times New Roman;Times;Serif"/>
          <w:b w:val="false"/>
          <w:i w:val="false"/>
          <w:caps w:val="false"/>
          <w:smallCaps w:val="false"/>
          <w:sz w:val="20"/>
        </w:rPr>
        <w:t>— Substantially all revenue is recognized over time, rather than at a point in time, with the exception of advertising and mobile device revenues, which totaled $247 million, $347 million and $279 million for the years ended December 31, 2025, 2024 and 2023,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Taxes and Fees </w:t>
      </w:r>
      <w:r>
        <w:rPr>
          <w:rFonts w:ascii="Times New Roman;Times;Serif" w:hAnsi="Times New Roman;Times;Serif"/>
          <w:b w:val="false"/>
          <w:i w:val="false"/>
          <w:caps w:val="false"/>
          <w:smallCaps w:val="false"/>
          <w:sz w:val="20"/>
        </w:rPr>
        <w:t>— Fees imposed on Cox by various governmental authorities are passed through on a monthly basis to Cox's customers and are periodically remitted to authorities. Fees of $241 million, $311 million and $274 million for the years ended December 31, 2025, 2024 and 2023, respectively, were reported in revenues on a gross basis with a corresponding operating expense because Cox is acting as a principal. Certain taxes, such as sales taxes imposed on Cox's customers, collected and remitted to state and local authorities, are recorded on a net basis because Cox is acting as an agent in such situations.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Significant Judgments in Evaluating Revenue Recognition </w:t>
      </w:r>
      <w:r>
        <w:rPr>
          <w:rFonts w:ascii="Times New Roman;Times;Serif" w:hAnsi="Times New Roman;Times;Serif"/>
          <w:b w:val="false"/>
          <w:i w:val="false"/>
          <w:caps w:val="false"/>
          <w:smallCaps w:val="false"/>
          <w:sz w:val="20"/>
        </w:rPr>
        <w:t>— For both residential and commercial offerings, Cox often provides more than one service to a customer. Cox markets these services individually and as bundled services. Cox’s residential and commercial services generally involve customer premise equipment, such as set-top boxes, cable modems or wireless gateways. The provisioning of equipment and installation service is interrelated; therefore, Cox must use judgment to determine what the distinct performance obligations are within the customer contract. Significant judgment is used to determine which performance obligations are distinct and should be accounted for separately and which performance obligations are not distinct and should be combined with the subscription service.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residential revenues, allocation of the transaction price to the distinct performance obligations requires judgment. Revenue from residential customers that purchase bundled services at a discounted rate is allocated among the separate services based on the respective standalone selling prices. The standalone selling prices for residential services are readily available and observable based on the current prices at which Cox separately sells the services.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determination of the period of benefit for deferral of residential installation revenue as a material right requires judgment. The residential upfront installation revenue is deferred over the period the charge remains material to the customer, which Cox determined to be six months. Cox considered both quantitative and qualitative factors (including average installation fee, average monthly recurring revenue per customer, churn rates and other factors) in its calculation of the period the fee remains material to the customer.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Deferred Revenue Contract Liabilities </w:t>
      </w:r>
      <w:r>
        <w:rPr>
          <w:rFonts w:ascii="Times New Roman;Times;Serif" w:hAnsi="Times New Roman;Times;Serif"/>
          <w:b w:val="false"/>
          <w:i w:val="false"/>
          <w:caps w:val="false"/>
          <w:smallCaps w:val="false"/>
          <w:sz w:val="20"/>
        </w:rPr>
        <w:t xml:space="preserve">— Timing of revenue recognition may differ from the timing of invoicing to customers. Residential and commercial customers are invoiced for subscription services in advance of the service period. Deferred revenue contract liabilities ("Contract Liabilities") are recorded when Cox invoices customers upfront for installation services that are recognized as revenue over time, as discussed above under Residential Services and Commercial Services. Current Contract Liabilities, </w:t>
      </w:r>
      <w:r>
        <w:rPr>
          <w:rFonts w:ascii="Times New Roman;Times;Serif" w:hAnsi="Times New Roman;Times;Serif"/>
          <w:b w:val="false"/>
          <w:i w:val="false"/>
          <w:caps w:val="false"/>
          <w:smallCaps w:val="false"/>
          <w:sz w:val="20"/>
          <w:shd w:fill="FFFFFF" w:val="clear"/>
        </w:rPr>
        <w:t xml:space="preserve">included in accrued expenses and other current liabilities </w:t>
      </w:r>
      <w:r>
        <w:rPr>
          <w:rFonts w:ascii="Times New Roman;Times;Serif" w:hAnsi="Times New Roman;Times;Serif"/>
          <w:b w:val="false"/>
          <w:i w:val="false"/>
          <w:caps w:val="false"/>
          <w:smallCaps w:val="false"/>
          <w:sz w:val="20"/>
        </w:rPr>
        <w:t>in the Consolidated Balance Sheets, consist of residential and commercial upfront installation fees</w:t>
      </w:r>
      <w:r>
        <w:rPr>
          <w:rFonts w:ascii="Times New Roman;Times;Serif" w:hAnsi="Times New Roman;Times;Serif"/>
          <w:b w:val="false"/>
          <w:i w:val="false"/>
          <w:caps w:val="false"/>
          <w:smallCaps w:val="false"/>
          <w:sz w:val="20"/>
          <w:shd w:fill="FFFFFF" w:val="clear"/>
        </w:rPr>
        <w:t>; long-term Contract Liabilities, included in other noncurrent liabilitie</w:t>
      </w:r>
      <w:r>
        <w:rPr>
          <w:rFonts w:ascii="Times New Roman;Times;Serif" w:hAnsi="Times New Roman;Times;Serif"/>
          <w:b w:val="false"/>
          <w:i w:val="false"/>
          <w:caps w:val="false"/>
          <w:smallCaps w:val="false"/>
          <w:sz w:val="20"/>
        </w:rPr>
        <w:t xml:space="preserve">s in the Consolidated Balance Sheets, </w:t>
      </w:r>
      <w:r>
        <w:rPr>
          <w:rFonts w:ascii="Times New Roman;Times;Serif" w:hAnsi="Times New Roman;Times;Serif"/>
          <w:b w:val="false"/>
          <w:i w:val="false"/>
          <w:caps w:val="false"/>
          <w:smallCaps w:val="false"/>
          <w:sz w:val="20"/>
          <w:shd w:fill="FFFFFF" w:val="clear"/>
        </w:rPr>
        <w:t>consist of commercial upfront installation fees</w:t>
      </w:r>
      <w:r>
        <w:rPr>
          <w:rFonts w:ascii="Times New Roman;Times;Serif" w:hAnsi="Times New Roman;Times;Serif"/>
          <w:b w:val="false"/>
          <w:i w:val="false"/>
          <w:caps w:val="false"/>
          <w:smallCaps w:val="false"/>
          <w:sz w:val="20"/>
        </w:rPr>
        <w:t>. Both are immaterial as of December 31, 2025 and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Contract costs </w:t>
      </w:r>
      <w:r>
        <w:rPr>
          <w:rFonts w:ascii="Times New Roman;Times;Serif" w:hAnsi="Times New Roman;Times;Serif"/>
          <w:b w:val="false"/>
          <w:i w:val="false"/>
          <w:caps w:val="false"/>
          <w:smallCaps w:val="false"/>
          <w:sz w:val="20"/>
        </w:rPr>
        <w:t>— Cox recognizes an asset for incremental costs of obtaining a contract with a customer if the amortization period of those costs is expected to be longer than one year and the costs are expected to be recovered. Commissions related to commercial cable services contracts are deferred and recognized over the average commercial contract term, which was determined on a portfolio basis. Deferred commercial commission costs are included in prepaid expenses and other current assets and other noncurrent assets in the Consolidated Balance Sheets and totaled $54 million and $40 million</w:t>
      </w:r>
      <w:r>
        <w:rPr>
          <w:rFonts w:ascii="Times New Roman;Times;Serif" w:hAnsi="Times New Roman;Times;Serif"/>
          <w:b w:val="false"/>
          <w:i w:val="false"/>
          <w:caps w:val="false"/>
          <w:smallCaps w:val="false"/>
          <w:sz w:val="20"/>
          <w:shd w:fill="FFFFFF" w:val="clear"/>
        </w:rPr>
        <w:t xml:space="preserve">, </w:t>
      </w:r>
      <w:r>
        <w:rPr>
          <w:rFonts w:ascii="Times New Roman;Times;Serif" w:hAnsi="Times New Roman;Times;Serif"/>
          <w:b w:val="false"/>
          <w:i w:val="false"/>
          <w:caps w:val="false"/>
          <w:smallCaps w:val="false"/>
          <w:sz w:val="20"/>
        </w:rPr>
        <w:t>respectively, as of December 31, 2025 and $64 million and $40 million, respectively, as of December 31, 2024. As the amortization period of residential commission costs is less than one year, Cox applied the practical expedient that allows such costs to be expensed as incurred. Cox has determined that the amortization period associated with residential commission costs is less than one year based on qualitative and quantitative factors. There were no impairment losses on contract costs for the years ended December 31, 2025 and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Operating Costs and Expenses</w:t>
      </w:r>
    </w:p>
    <w:p>
      <w:pPr>
        <w:pStyle w:val="TextBody"/>
        <w:bidi w:val="0"/>
        <w:spacing w:before="0" w:after="0"/>
        <w:ind w:left="0" w:right="0" w:hanging="0"/>
        <w:jc w:val="left"/>
        <w:rPr>
          <w:caps w:val="false"/>
          <w:smallCaps w:val="false"/>
        </w:rPr>
      </w:pPr>
      <w:r>
        <w:rPr>
          <w:caps w:val="false"/>
          <w:smallCaps w:val="false"/>
        </w:rPr>
        <w:t> </w:t>
      </w:r>
    </w:p>
    <w:tbl>
      <w:tblPr>
        <w:tblW w:w="5342" w:type="dxa"/>
        <w:jc w:val="left"/>
        <w:tblInd w:w="0" w:type="dxa"/>
        <w:tblLayout w:type="fixed"/>
        <w:tblCellMar>
          <w:top w:w="0" w:type="dxa"/>
          <w:left w:w="0" w:type="dxa"/>
          <w:bottom w:w="0" w:type="dxa"/>
          <w:right w:w="0" w:type="dxa"/>
        </w:tblCellMar>
      </w:tblPr>
      <w:tblGrid>
        <w:gridCol w:w="2915"/>
        <w:gridCol w:w="60"/>
        <w:gridCol w:w="138"/>
        <w:gridCol w:w="538"/>
        <w:gridCol w:w="66"/>
        <w:gridCol w:w="66"/>
        <w:gridCol w:w="138"/>
        <w:gridCol w:w="538"/>
        <w:gridCol w:w="66"/>
        <w:gridCol w:w="66"/>
        <w:gridCol w:w="138"/>
        <w:gridCol w:w="538"/>
        <w:gridCol w:w="75"/>
      </w:tblGrid>
      <w:tr>
        <w:trPr/>
        <w:tc>
          <w:tcPr>
            <w:tcW w:w="29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292"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Years Ended December 31,</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91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millions)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76"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66" w:type="dxa"/>
            <w:tcBorders/>
            <w:vAlign w:val="center"/>
          </w:tcPr>
          <w:p>
            <w:pPr>
              <w:pStyle w:val="TableContents"/>
              <w:bidi w:val="0"/>
              <w:spacing w:before="0" w:after="283"/>
              <w:jc w:val="left"/>
              <w:rPr>
                <w:caps w:val="false"/>
                <w:smallCaps w:val="false"/>
              </w:rPr>
            </w:pPr>
            <w:r>
              <w:rPr>
                <w:caps w:val="false"/>
                <w:smallCaps w:val="false"/>
              </w:rPr>
              <w:t> </w:t>
            </w:r>
          </w:p>
        </w:tc>
        <w:tc>
          <w:tcPr>
            <w:tcW w:w="66" w:type="dxa"/>
            <w:tcBorders/>
            <w:vAlign w:val="center"/>
          </w:tcPr>
          <w:p>
            <w:pPr>
              <w:pStyle w:val="TableContents"/>
              <w:bidi w:val="0"/>
              <w:spacing w:before="0" w:after="283"/>
              <w:jc w:val="left"/>
              <w:rPr>
                <w:caps w:val="false"/>
                <w:smallCaps w:val="false"/>
              </w:rPr>
            </w:pPr>
            <w:r>
              <w:rPr>
                <w:caps w:val="false"/>
                <w:smallCaps w:val="false"/>
              </w:rPr>
              <w:t> </w:t>
            </w:r>
          </w:p>
        </w:tc>
        <w:tc>
          <w:tcPr>
            <w:tcW w:w="676"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66" w:type="dxa"/>
            <w:tcBorders/>
            <w:vAlign w:val="center"/>
          </w:tcPr>
          <w:p>
            <w:pPr>
              <w:pStyle w:val="TableContents"/>
              <w:bidi w:val="0"/>
              <w:spacing w:before="0" w:after="283"/>
              <w:jc w:val="left"/>
              <w:rPr>
                <w:caps w:val="false"/>
                <w:smallCaps w:val="false"/>
              </w:rPr>
            </w:pPr>
            <w:r>
              <w:rPr>
                <w:caps w:val="false"/>
                <w:smallCaps w:val="false"/>
              </w:rPr>
              <w:t> </w:t>
            </w:r>
          </w:p>
        </w:tc>
        <w:tc>
          <w:tcPr>
            <w:tcW w:w="66" w:type="dxa"/>
            <w:tcBorders/>
            <w:vAlign w:val="center"/>
          </w:tcPr>
          <w:p>
            <w:pPr>
              <w:pStyle w:val="TableContents"/>
              <w:bidi w:val="0"/>
              <w:spacing w:before="0" w:after="283"/>
              <w:jc w:val="left"/>
              <w:rPr>
                <w:caps w:val="false"/>
                <w:smallCaps w:val="false"/>
              </w:rPr>
            </w:pPr>
            <w:r>
              <w:rPr>
                <w:caps w:val="false"/>
                <w:smallCaps w:val="false"/>
              </w:rPr>
              <w:t> </w:t>
            </w:r>
          </w:p>
        </w:tc>
        <w:tc>
          <w:tcPr>
            <w:tcW w:w="676"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2023</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9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Programming costs </w:t>
            </w:r>
            <w:r>
              <w:rPr>
                <w:rFonts w:ascii="Times New Roman;Times;Serif" w:hAnsi="Times New Roman;Times;Serif"/>
                <w:b w:val="false"/>
                <w:i w:val="false"/>
                <w:caps w:val="false"/>
                <w:smallCaps w:val="false"/>
                <w:position w:val="7"/>
                <w:sz w:val="16"/>
                <w:sz w:val="20"/>
              </w:rPr>
              <w:t>(a)</w:t>
            </w:r>
            <w:r>
              <w:rPr>
                <w:rFonts w:ascii="Times New Roman;Times;Serif" w:hAnsi="Times New Roman;Times;Serif"/>
                <w:b w:val="false"/>
                <w:i w:val="false"/>
                <w:caps w:val="false"/>
                <w:smallCaps w:val="false"/>
                <w:sz w:val="20"/>
              </w:rPr>
              <w:tab/>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3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1,878</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3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2,064</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3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2,220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9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Other costs of revenue </w:t>
            </w:r>
            <w:r>
              <w:rPr>
                <w:rFonts w:ascii="Times New Roman;Times;Serif" w:hAnsi="Times New Roman;Times;Serif"/>
                <w:b w:val="false"/>
                <w:i w:val="false"/>
                <w:caps w:val="false"/>
                <w:smallCaps w:val="false"/>
                <w:position w:val="7"/>
                <w:sz w:val="16"/>
                <w:sz w:val="20"/>
              </w:rPr>
              <w:t>(b)</w:t>
            </w:r>
            <w:r>
              <w:rPr>
                <w:rFonts w:ascii="Times New Roman;Times;Serif" w:hAnsi="Times New Roman;Times;Serif"/>
                <w:b w:val="false"/>
                <w:i w:val="false"/>
                <w:caps w:val="false"/>
                <w:smallCaps w:val="false"/>
                <w:sz w:val="20"/>
              </w:rPr>
              <w:tab/>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3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1,161</w:t>
            </w:r>
          </w:p>
        </w:tc>
        <w:tc>
          <w:tcPr>
            <w:tcW w:w="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3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1,190</w:t>
            </w:r>
          </w:p>
        </w:tc>
        <w:tc>
          <w:tcPr>
            <w:tcW w:w="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3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1,091</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9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Field and technology operations </w:t>
            </w:r>
            <w:r>
              <w:rPr>
                <w:rFonts w:ascii="Times New Roman;Times;Serif" w:hAnsi="Times New Roman;Times;Serif"/>
                <w:b w:val="false"/>
                <w:i w:val="false"/>
                <w:caps w:val="false"/>
                <w:smallCaps w:val="false"/>
                <w:position w:val="7"/>
                <w:sz w:val="16"/>
                <w:sz w:val="20"/>
              </w:rPr>
              <w:t>(c)</w:t>
            </w:r>
            <w:r>
              <w:rPr>
                <w:rFonts w:ascii="Times New Roman;Times;Serif" w:hAnsi="Times New Roman;Times;Serif"/>
                <w:b w:val="false"/>
                <w:i w:val="false"/>
                <w:caps w:val="false"/>
                <w:smallCaps w:val="false"/>
                <w:sz w:val="20"/>
              </w:rPr>
              <w:tab/>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3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1,014</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3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918</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3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976</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9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Customer operations </w:t>
            </w:r>
            <w:r>
              <w:rPr>
                <w:rFonts w:ascii="Times New Roman;Times;Serif" w:hAnsi="Times New Roman;Times;Serif"/>
                <w:b w:val="false"/>
                <w:i w:val="false"/>
                <w:caps w:val="false"/>
                <w:smallCaps w:val="false"/>
                <w:position w:val="7"/>
                <w:sz w:val="16"/>
                <w:sz w:val="20"/>
              </w:rPr>
              <w:t>(d)</w:t>
            </w:r>
            <w:r>
              <w:rPr>
                <w:rFonts w:ascii="Times New Roman;Times;Serif" w:hAnsi="Times New Roman;Times;Serif"/>
                <w:b w:val="false"/>
                <w:i w:val="false"/>
                <w:caps w:val="false"/>
                <w:smallCaps w:val="false"/>
                <w:sz w:val="20"/>
              </w:rPr>
              <w:tab/>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3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203</w:t>
            </w:r>
          </w:p>
        </w:tc>
        <w:tc>
          <w:tcPr>
            <w:tcW w:w="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3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188</w:t>
            </w:r>
          </w:p>
        </w:tc>
        <w:tc>
          <w:tcPr>
            <w:tcW w:w="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3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164</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9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and marketing</w:t>
              <w:tab/>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3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1,064</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3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1,246</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3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1,255</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9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w:t>
              <w:tab/>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3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2,223</w:t>
            </w:r>
          </w:p>
        </w:tc>
        <w:tc>
          <w:tcPr>
            <w:tcW w:w="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3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2,528</w:t>
            </w:r>
          </w:p>
        </w:tc>
        <w:tc>
          <w:tcPr>
            <w:tcW w:w="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3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2,555</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9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operating costs and expenses</w:t>
              <w:tab/>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8"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38"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7,543</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8"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38"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8,134</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8"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38"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8,261</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(a)</w:t>
      </w:r>
      <w:r>
        <w:rPr>
          <w:rFonts w:ascii="Times New Roman;Times;Serif" w:hAnsi="Times New Roman;Times;Serif"/>
          <w:b w:val="false"/>
          <w:i w:val="false"/>
          <w:caps w:val="false"/>
          <w:smallCaps w:val="false"/>
          <w:sz w:val="20"/>
        </w:rPr>
        <w:t> Programming costs are amounts paid to programmers for cable content and to television stations for retransmission consent and are generally paid on a per-subscriber basis.</w:t>
      </w:r>
    </w:p>
    <w:p>
      <w:pPr>
        <w:pStyle w:val="TextBody"/>
        <w:bidi w:val="0"/>
        <w:spacing w:before="0" w:after="0"/>
        <w:ind w:left="360" w:right="0" w:hanging="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(b)</w:t>
      </w:r>
      <w:r>
        <w:rPr>
          <w:rFonts w:ascii="Times New Roman;Times;Serif" w:hAnsi="Times New Roman;Times;Serif"/>
          <w:b w:val="false"/>
          <w:i w:val="false"/>
          <w:caps w:val="false"/>
          <w:smallCaps w:val="false"/>
          <w:sz w:val="20"/>
        </w:rPr>
        <w:t> Other costs of revenues include expenses that Cox incurs in conjunction with providing its residential, commercial and advertising services.</w:t>
      </w:r>
    </w:p>
    <w:p>
      <w:pPr>
        <w:pStyle w:val="TextBody"/>
        <w:bidi w:val="0"/>
        <w:spacing w:before="0" w:after="0"/>
        <w:ind w:left="360" w:right="0" w:hanging="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(c)</w:t>
      </w:r>
      <w:r>
        <w:rPr>
          <w:rFonts w:ascii="Times New Roman;Times;Serif" w:hAnsi="Times New Roman;Times;Serif"/>
          <w:b w:val="false"/>
          <w:i w:val="false"/>
          <w:caps w:val="false"/>
          <w:smallCaps w:val="false"/>
          <w:sz w:val="20"/>
        </w:rPr>
        <w:t> Field and technology operations are costs associated with providing and maintaining Cox's nationwide Internet Protocol network and outside cable network.</w:t>
      </w:r>
    </w:p>
    <w:p>
      <w:pPr>
        <w:pStyle w:val="TextBody"/>
        <w:bidi w:val="0"/>
        <w:spacing w:before="0" w:after="0"/>
        <w:ind w:left="360" w:right="0" w:hanging="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(d) </w:t>
      </w:r>
      <w:r>
        <w:rPr>
          <w:rFonts w:ascii="Times New Roman;Times;Serif" w:hAnsi="Times New Roman;Times;Serif"/>
          <w:b w:val="false"/>
          <w:i w:val="false"/>
          <w:caps w:val="false"/>
          <w:smallCaps w:val="false"/>
          <w:sz w:val="20"/>
        </w:rPr>
        <w:t>Customer operations are care costs necessary to maintain Cox's customer base in addition to sales and marketing.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Advertising Costs</w:t>
      </w:r>
      <w:r>
        <w:rPr>
          <w:rFonts w:ascii="Times New Roman;Times;Serif" w:hAnsi="Times New Roman;Times;Serif"/>
          <w:b w:val="false"/>
          <w:i w:val="false"/>
          <w:caps w:val="false"/>
          <w:smallCaps w:val="false"/>
          <w:sz w:val="20"/>
        </w:rPr>
        <w:t xml:space="preserve"> — Advertising costs associated with marketing Cox's products and services are generally expensed as costs are incurred. Advertising costs were $386 million, $477 million and $476 million for the years ended December 31, 2025, 2024 and 2023, respectively and are included in operating costs and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Income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and its subsidiaries join with CEI in filing a consolidated U.S. federal income tax return and certain state income tax returns. Other subsidiaries file their own U.S. federal income tax returns based on the ownership structure and relevant tax laws. Current federal and state income tax expenses and benefits have been allocated on a separate-return basis to Cox based on the current year tax effects of the inclusion of its income, expenses and credits in the consolidated income tax returns of CEI or based on separate state income tax returns.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provides for income taxes using the asset and liability method, which requires an asset and liability based approach in accounting for income taxes. Deferred income taxes reflect the net tax effect on future years of temporary differences between the carrying value of assets and liabilities for financial statement and income tax purposes. Valuation allowances are established when Cox determines that it is more-likely-than-not that some portion or the entire deferred tax asset will not be realized. Cox evaluates its effective tax rates regularly and adjusts them when appropriate based on currently available information relative to statutory rates, apportionment factors and the applicable taxable income in the jurisdictions in which Cox operates, among other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applies additional tax provisions, where applicable, related to accounting for uncertainty in income taxes, which prescribe a recognition threshold and measurement attribute for the financial statement recognition and measurement of tax positions taken or expected to be taken in a tax return. For those benefits to be recognized, a tax position must be more-likely-than-not to be sustained upon examination by taxing authorities. The amount recognized is measured as the largest benefit that has a greater than 50% likelihood of being realized upon settlement. Cox adjusts its estimates of uncertain tax positions periodically because of ongoing examinations by, and settlements with, various taxing authorities, as well as changes in tax laws, regulations, and interpretations. Cox classifies interest and penalties associated with its unrecognized tax benefits as a component of income tax expense.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Accounting Pronouncements Adopted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2023, the FASB issued Accounting Standards Update (“ASU”) No. 2023-09, </w:t>
      </w:r>
      <w:r>
        <w:rPr>
          <w:rFonts w:ascii="Times New Roman;Times;Serif" w:hAnsi="Times New Roman;Times;Serif"/>
          <w:b w:val="false"/>
          <w:i/>
          <w:caps w:val="false"/>
          <w:smallCaps w:val="false"/>
          <w:sz w:val="20"/>
        </w:rPr>
        <w:t xml:space="preserve">Income Taxes (Topic 740), Improvements to Income Tax Disclosures. </w:t>
      </w:r>
      <w:r>
        <w:rPr>
          <w:rFonts w:ascii="Times New Roman;Times;Serif" w:hAnsi="Times New Roman;Times;Serif"/>
          <w:b w:val="false"/>
          <w:i w:val="false"/>
          <w:caps w:val="false"/>
          <w:smallCaps w:val="false"/>
          <w:sz w:val="20"/>
        </w:rPr>
        <w:t>This ASU requires disaggregated information about an entity's effective tax rate reconciliation and income taxes paid information. Cox adopted ASU 2023-09 as of December 31, 2025, retrospectively, and the adoption did not have a material impact to the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Accounting Pronouncements Not Yet Adopted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September 2025, the FASB issued ASU No. 2025-06, Intangibles – Goodwill and Other – Internal-Use Software (Subtopic 350-40): </w:t>
      </w:r>
      <w:r>
        <w:rPr>
          <w:rFonts w:ascii="Times New Roman;Times;Serif" w:hAnsi="Times New Roman;Times;Serif"/>
          <w:b w:val="false"/>
          <w:i/>
          <w:caps w:val="false"/>
          <w:smallCaps w:val="false"/>
          <w:sz w:val="20"/>
        </w:rPr>
        <w:t>Targeted Improvements to the Accounting for Internal-Use Software</w:t>
      </w:r>
      <w:r>
        <w:rPr>
          <w:rFonts w:ascii="Times New Roman;Times;Serif" w:hAnsi="Times New Roman;Times;Serif"/>
          <w:b w:val="false"/>
          <w:i w:val="false"/>
          <w:caps w:val="false"/>
          <w:smallCaps w:val="false"/>
          <w:sz w:val="20"/>
        </w:rPr>
        <w:t>. This ASU removes all references to prescriptive and sequential software development project stages. Rather, an entity is required to start capitalizing software costs when 1) management has authorized and committed to funding the software project and 2) it is probable that the project will be completed and the software will be used to perform the function intended (referred to as the “probable-to-complete recognition threshold”). The guidance is effective for Cox on January 1, 2028, with early adoption permitted. Cox is currently evaluating the potential effects of this standard on its Consolidated Financial Statements, as well as its policies, procedures and systems.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November 2024, the FASB issued ASU No. 2024-03, Income Statement — Reporting Comprehensive Income — Expense Disaggregation Disclosures (Subtopic 220-40): </w:t>
      </w:r>
      <w:r>
        <w:rPr>
          <w:rFonts w:ascii="Times New Roman;Times;Serif" w:hAnsi="Times New Roman;Times;Serif"/>
          <w:b w:val="false"/>
          <w:i/>
          <w:caps w:val="false"/>
          <w:smallCaps w:val="false"/>
          <w:sz w:val="20"/>
        </w:rPr>
        <w:t xml:space="preserve">Disaggregation of Income Statement Expenses. </w:t>
      </w:r>
      <w:r>
        <w:rPr>
          <w:rFonts w:ascii="Times New Roman;Times;Serif" w:hAnsi="Times New Roman;Times;Serif"/>
          <w:b w:val="false"/>
          <w:i w:val="false"/>
          <w:caps w:val="false"/>
          <w:smallCaps w:val="false"/>
          <w:sz w:val="20"/>
        </w:rPr>
        <w:t>This ASU requires new financial statement disclosures in tabular format, disaggregating information about prescribed categories underlying any relevant income statement expense caption. Qualitative disclosures about any remaining amounts in relevant expense line items must be provided. Separate disclosures of total selling expenses and an entity’s definition of those expenses are also required. ASU 2024-03 is effective for annual periods beginning after December 15, 2026, with early adoption permitted. Cox expects the adoption of the standard to result in additional disaggregation of expense captions within its footnote disclosures.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Subsequent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has evaluated events that occurred subsequent to December 31, 2025 for potential recognition and disclosure. Any applicable subsequent events have been evaluated through February 27, 2026, the date the Consolidated Financial Statements were issued.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ACQUISITIONS AND DIVESTITURES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Pending Disposition of Cox — </w:t>
      </w:r>
      <w:r>
        <w:rPr>
          <w:rFonts w:ascii="Times New Roman;Times;Serif" w:hAnsi="Times New Roman;Times;Serif"/>
          <w:b w:val="false"/>
          <w:i w:val="false"/>
          <w:caps w:val="false"/>
          <w:smallCaps w:val="false"/>
          <w:sz w:val="20"/>
        </w:rPr>
        <w:t>In May 2025, Charter Communications, Inc. (“Charter”) and Charter Communications Holdings, LLC (“Charter Holdings”) entered into a transaction agreement (“Transaction Agreement”) with CEI. Pursuant to the Transaction Agreement, at the closing of the transactions, (i) CEI will sell and transfer to Charter 100% of the equity interests of certain subsidiaries of Cox that conduct Cox’s commercial fiber and managed IT and cloud services businesses, (ii) CEI will contribute the equity interests of Cox and certain other assets (other than certain excluded assets) primarily relating to Cox’s residential cable business to Charter Holdings, and (iii) CEI will pay $1.00 to Charter (collectively the "Cox Transactions"). The combined entity will assume Cox's approximately $12.6 billion in outstanding net debt and finance leases (assumed debt is on a proforma basis contemplating Cox's refinancing of debt maturities occurring between signing and closing of the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31, 2025, Charter’s shareholders approved the Transaction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Logicworks Acquisition — </w:t>
      </w:r>
      <w:r>
        <w:rPr>
          <w:rFonts w:ascii="Times New Roman;Times;Serif" w:hAnsi="Times New Roman;Times;Serif"/>
          <w:b w:val="false"/>
          <w:i w:val="false"/>
          <w:caps w:val="false"/>
          <w:smallCaps w:val="false"/>
          <w:sz w:val="20"/>
        </w:rPr>
        <w:t>In January 2023, Cox acquired 100% of Logicworks Systems Corporation ("Logicworks"), a privately-held managed services and public cloud automation provider, through a merger agreement with Lancer Systems Holdco LLC, for consideration transferred of $246 million. Logicworks offers managed services, professional services and a proprietary user interface to its customer base, which are focused in the mid-market segment. Based on the estimated fair value of the assets acquired and liabilities assumed, Cox recognized $172 million in goodwill and $54 million in intangible assets associated with Logicworks' customer relationships, developed technology and trade name. Goodwill arising from the acquisition was primarily attributable to expected growth opportunities and a specialized workforce. The goodwill is not deductible for tax purposes. The developed technology and trade name will amortize over five years and customer relationships over 20 years, using a straight-line methodology.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Cox's accounting for the Logicworks acquisition has provided for estimates of the fair values of the assets acquired and liabilities assumed as of the acquisition date. The following table represents the final purchase price allocation.</w:t>
      </w:r>
    </w:p>
    <w:p>
      <w:pPr>
        <w:pStyle w:val="TextBody"/>
        <w:bidi w:val="0"/>
        <w:spacing w:before="0" w:after="0"/>
        <w:ind w:left="0" w:right="0" w:hanging="0"/>
        <w:jc w:val="left"/>
        <w:rPr>
          <w:caps w:val="false"/>
          <w:smallCaps w:val="false"/>
        </w:rPr>
      </w:pPr>
      <w:r>
        <w:rPr>
          <w:caps w:val="false"/>
          <w:smallCaps w:val="false"/>
        </w:rPr>
        <w:t> </w:t>
      </w:r>
    </w:p>
    <w:tbl>
      <w:tblPr>
        <w:tblW w:w="3830" w:type="dxa"/>
        <w:jc w:val="left"/>
        <w:tblInd w:w="0" w:type="dxa"/>
        <w:tblLayout w:type="fixed"/>
        <w:tblCellMar>
          <w:top w:w="0" w:type="dxa"/>
          <w:left w:w="0" w:type="dxa"/>
          <w:bottom w:w="28" w:type="dxa"/>
          <w:right w:w="0" w:type="dxa"/>
        </w:tblCellMar>
      </w:tblPr>
      <w:tblGrid>
        <w:gridCol w:w="3215"/>
        <w:gridCol w:w="60"/>
        <w:gridCol w:w="125"/>
        <w:gridCol w:w="335"/>
        <w:gridCol w:w="95"/>
      </w:tblGrid>
      <w:tr>
        <w:trPr/>
        <w:tc>
          <w:tcPr>
            <w:tcW w:w="3215"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millions)</w:t>
            </w:r>
          </w:p>
        </w:tc>
        <w:tc>
          <w:tcPr>
            <w:tcW w:w="60" w:type="dxa"/>
            <w:tcBorders/>
            <w:tcMar>
              <w:bottom w:w="0" w:type="dxa"/>
            </w:tcMar>
            <w:vAlign w:val="center"/>
          </w:tcPr>
          <w:p>
            <w:pPr>
              <w:pStyle w:val="TableContents"/>
              <w:bidi w:val="0"/>
              <w:spacing w:before="0" w:after="283"/>
              <w:jc w:val="left"/>
              <w:rPr/>
            </w:pPr>
            <w:r>
              <w:rPr/>
              <w:t> </w:t>
            </w:r>
          </w:p>
        </w:tc>
        <w:tc>
          <w:tcPr>
            <w:tcW w:w="460" w:type="dxa"/>
            <w:gridSpan w:val="2"/>
            <w:tcBorders/>
            <w:tcMar>
              <w:bottom w:w="0" w:type="dxa"/>
            </w:tcMar>
            <w:vAlign w:val="center"/>
          </w:tcPr>
          <w:p>
            <w:pPr>
              <w:pStyle w:val="TableContents"/>
              <w:bidi w:val="0"/>
              <w:spacing w:before="0" w:after="283"/>
              <w:jc w:val="left"/>
              <w:rPr/>
            </w:pPr>
            <w:r>
              <w:rPr/>
              <w:t> </w:t>
            </w:r>
          </w:p>
        </w:tc>
        <w:tc>
          <w:tcPr>
            <w:tcW w:w="95" w:type="dxa"/>
            <w:tcBorders/>
            <w:tcMar>
              <w:bottom w:w="0" w:type="dxa"/>
            </w:tcMar>
            <w:vAlign w:val="center"/>
          </w:tcPr>
          <w:p>
            <w:pPr>
              <w:pStyle w:val="TableContents"/>
              <w:bidi w:val="0"/>
              <w:spacing w:before="0" w:after="283"/>
              <w:jc w:val="left"/>
              <w:rPr/>
            </w:pPr>
            <w:r>
              <w:rPr/>
              <w:t> </w:t>
            </w:r>
          </w:p>
        </w:tc>
      </w:tr>
      <w:tr>
        <w:trPr/>
        <w:tc>
          <w:tcPr>
            <w:tcW w:w="321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Fair value of consideration transferred</w:t>
              <w:tab/>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335"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246</w:t>
            </w:r>
          </w:p>
        </w:tc>
        <w:tc>
          <w:tcPr>
            <w:tcW w:w="9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21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fair value to be allocated</w:t>
              <w:tab/>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335" w:type="dxa"/>
            <w:tcBorders>
              <w:bottom w:val="double" w:sz="6"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246</w:t>
            </w:r>
          </w:p>
        </w:tc>
        <w:tc>
          <w:tcPr>
            <w:tcW w:w="9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335"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r>
      <w:tr>
        <w:trPr/>
        <w:tc>
          <w:tcPr>
            <w:tcW w:w="321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and cash equivalents</w:t>
              <w:tab/>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33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9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21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current and noncurrent assets</w:t>
              <w:tab/>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3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c>
          <w:tcPr>
            <w:tcW w:w="9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21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and equipment</w:t>
              <w:tab/>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3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9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21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Goodwill</w:t>
              <w:tab/>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3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172</w:t>
            </w:r>
          </w:p>
        </w:tc>
        <w:tc>
          <w:tcPr>
            <w:tcW w:w="9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21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Intangible assets</w:t>
              <w:tab/>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3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w:t>
            </w:r>
          </w:p>
        </w:tc>
        <w:tc>
          <w:tcPr>
            <w:tcW w:w="9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21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tax assets</w:t>
              <w:tab/>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3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9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21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and other noncurrent liabilities</w:t>
              <w:tab/>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35"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c>
          <w:tcPr>
            <w:tcW w:w="9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21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fair value of net assets acquired</w:t>
              <w:tab/>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335"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246</w:t>
            </w:r>
          </w:p>
        </w:tc>
        <w:tc>
          <w:tcPr>
            <w:tcW w:w="9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     SUPPLEMENTAL CASH FLOW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Cox's significant non-cash investing and financing transactions and other supplemental cash flow information are as follows:</w:t>
      </w:r>
    </w:p>
    <w:p>
      <w:pPr>
        <w:pStyle w:val="TextBody"/>
        <w:bidi w:val="0"/>
        <w:spacing w:before="0" w:after="0"/>
        <w:ind w:left="0" w:right="0" w:hanging="0"/>
        <w:jc w:val="left"/>
        <w:rPr>
          <w:caps w:val="false"/>
          <w:smallCaps w:val="false"/>
        </w:rPr>
      </w:pPr>
      <w:r>
        <w:rPr>
          <w:caps w:val="false"/>
          <w:smallCaps w:val="false"/>
        </w:rPr>
        <w:t> </w:t>
      </w:r>
    </w:p>
    <w:tbl>
      <w:tblPr>
        <w:tblW w:w="9606" w:type="dxa"/>
        <w:jc w:val="left"/>
        <w:tblInd w:w="0" w:type="dxa"/>
        <w:tblLayout w:type="fixed"/>
        <w:tblCellMar>
          <w:top w:w="0" w:type="dxa"/>
          <w:left w:w="0" w:type="dxa"/>
          <w:bottom w:w="0" w:type="dxa"/>
          <w:right w:w="0" w:type="dxa"/>
        </w:tblCellMar>
      </w:tblPr>
      <w:tblGrid>
        <w:gridCol w:w="7175"/>
        <w:gridCol w:w="60"/>
        <w:gridCol w:w="177"/>
        <w:gridCol w:w="475"/>
        <w:gridCol w:w="85"/>
        <w:gridCol w:w="85"/>
        <w:gridCol w:w="177"/>
        <w:gridCol w:w="475"/>
        <w:gridCol w:w="85"/>
        <w:gridCol w:w="85"/>
        <w:gridCol w:w="177"/>
        <w:gridCol w:w="475"/>
        <w:gridCol w:w="75"/>
      </w:tblGrid>
      <w:tr>
        <w:trPr/>
        <w:tc>
          <w:tcPr>
            <w:tcW w:w="71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296"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Years Ended December 31,</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17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millions)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52"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85" w:type="dxa"/>
            <w:tcBorders/>
            <w:vAlign w:val="center"/>
          </w:tcPr>
          <w:p>
            <w:pPr>
              <w:pStyle w:val="TableContents"/>
              <w:bidi w:val="0"/>
              <w:spacing w:before="0" w:after="283"/>
              <w:jc w:val="left"/>
              <w:rPr>
                <w:caps w:val="false"/>
                <w:smallCaps w:val="false"/>
              </w:rPr>
            </w:pPr>
            <w:r>
              <w:rPr>
                <w:caps w:val="false"/>
                <w:smallCaps w:val="false"/>
              </w:rPr>
              <w:t> </w:t>
            </w:r>
          </w:p>
        </w:tc>
        <w:tc>
          <w:tcPr>
            <w:tcW w:w="85" w:type="dxa"/>
            <w:tcBorders/>
            <w:vAlign w:val="center"/>
          </w:tcPr>
          <w:p>
            <w:pPr>
              <w:pStyle w:val="TableContents"/>
              <w:bidi w:val="0"/>
              <w:spacing w:before="0" w:after="283"/>
              <w:jc w:val="left"/>
              <w:rPr>
                <w:caps w:val="false"/>
                <w:smallCaps w:val="false"/>
              </w:rPr>
            </w:pPr>
            <w:r>
              <w:rPr>
                <w:caps w:val="false"/>
                <w:smallCaps w:val="false"/>
              </w:rPr>
              <w:t> </w:t>
            </w:r>
          </w:p>
        </w:tc>
        <w:tc>
          <w:tcPr>
            <w:tcW w:w="652"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85" w:type="dxa"/>
            <w:tcBorders/>
            <w:vAlign w:val="center"/>
          </w:tcPr>
          <w:p>
            <w:pPr>
              <w:pStyle w:val="TableContents"/>
              <w:bidi w:val="0"/>
              <w:spacing w:before="0" w:after="283"/>
              <w:jc w:val="left"/>
              <w:rPr>
                <w:caps w:val="false"/>
                <w:smallCaps w:val="false"/>
              </w:rPr>
            </w:pPr>
            <w:r>
              <w:rPr>
                <w:caps w:val="false"/>
                <w:smallCaps w:val="false"/>
              </w:rPr>
              <w:t> </w:t>
            </w:r>
          </w:p>
        </w:tc>
        <w:tc>
          <w:tcPr>
            <w:tcW w:w="85" w:type="dxa"/>
            <w:tcBorders/>
            <w:vAlign w:val="center"/>
          </w:tcPr>
          <w:p>
            <w:pPr>
              <w:pStyle w:val="TableContents"/>
              <w:bidi w:val="0"/>
              <w:spacing w:before="0" w:after="283"/>
              <w:jc w:val="left"/>
              <w:rPr>
                <w:caps w:val="false"/>
                <w:smallCaps w:val="false"/>
              </w:rPr>
            </w:pPr>
            <w:r>
              <w:rPr>
                <w:caps w:val="false"/>
                <w:smallCaps w:val="false"/>
              </w:rPr>
              <w:t> </w:t>
            </w:r>
          </w:p>
        </w:tc>
        <w:tc>
          <w:tcPr>
            <w:tcW w:w="652"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2023</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1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Significant non-cash transactions:</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475" w:type="dxa"/>
            <w:tcBorders/>
            <w:shd w:fill="CCEEFF" w:val="clear"/>
            <w:vAlign w:val="center"/>
          </w:tcPr>
          <w:p>
            <w:pPr>
              <w:pStyle w:val="TableContents"/>
              <w:bidi w:val="0"/>
              <w:spacing w:before="0" w:after="283"/>
              <w:jc w:val="right"/>
              <w:rPr/>
            </w:pPr>
            <w:r>
              <w:rPr/>
              <w:t> </w:t>
            </w:r>
          </w:p>
        </w:tc>
        <w:tc>
          <w:tcPr>
            <w:tcW w:w="85"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475" w:type="dxa"/>
            <w:tcBorders/>
            <w:shd w:fill="CCEEFF" w:val="clear"/>
            <w:vAlign w:val="center"/>
          </w:tcPr>
          <w:p>
            <w:pPr>
              <w:pStyle w:val="TableContents"/>
              <w:bidi w:val="0"/>
              <w:spacing w:before="0" w:after="283"/>
              <w:jc w:val="right"/>
              <w:rPr/>
            </w:pPr>
            <w:r>
              <w:rPr/>
              <w:t> </w:t>
            </w:r>
          </w:p>
        </w:tc>
        <w:tc>
          <w:tcPr>
            <w:tcW w:w="85"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47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71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and equipment acquired under finance leases and other financing arrangements</w:t>
              <w:tab/>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7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265</w:t>
            </w:r>
          </w:p>
        </w:tc>
        <w:tc>
          <w:tcPr>
            <w:tcW w:w="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7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c>
          <w:tcPr>
            <w:tcW w:w="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7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1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lease ROU assets obtained in exchange for operating lease obligations</w:t>
              <w:tab/>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7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w:t>
            </w:r>
          </w:p>
        </w:tc>
        <w:tc>
          <w:tcPr>
            <w:tcW w:w="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7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w:t>
            </w:r>
          </w:p>
        </w:tc>
        <w:tc>
          <w:tcPr>
            <w:tcW w:w="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7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1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Contribution to capital from Cox Enterprises, Inc.</w:t>
              <w:tab/>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7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w:t>
            </w:r>
          </w:p>
        </w:tc>
        <w:tc>
          <w:tcPr>
            <w:tcW w:w="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7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7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1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475" w:type="dxa"/>
            <w:tcBorders/>
            <w:shd w:fill="CCEEFF" w:val="clear"/>
            <w:vAlign w:val="center"/>
          </w:tcPr>
          <w:p>
            <w:pPr>
              <w:pStyle w:val="TableContents"/>
              <w:bidi w:val="0"/>
              <w:spacing w:before="0" w:after="283"/>
              <w:jc w:val="right"/>
              <w:rPr/>
            </w:pPr>
            <w:r>
              <w:rPr/>
              <w:t> </w:t>
            </w:r>
          </w:p>
        </w:tc>
        <w:tc>
          <w:tcPr>
            <w:tcW w:w="85"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475" w:type="dxa"/>
            <w:tcBorders/>
            <w:shd w:fill="CCEEFF" w:val="clear"/>
            <w:vAlign w:val="center"/>
          </w:tcPr>
          <w:p>
            <w:pPr>
              <w:pStyle w:val="TableContents"/>
              <w:bidi w:val="0"/>
              <w:spacing w:before="0" w:after="283"/>
              <w:jc w:val="right"/>
              <w:rPr/>
            </w:pPr>
            <w:r>
              <w:rPr/>
              <w:t> </w:t>
            </w:r>
          </w:p>
        </w:tc>
        <w:tc>
          <w:tcPr>
            <w:tcW w:w="85"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47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71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Supplemental cash flow information:</w:t>
            </w:r>
          </w:p>
        </w:tc>
        <w:tc>
          <w:tcPr>
            <w:tcW w:w="60"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475" w:type="dxa"/>
            <w:tcBorders/>
            <w:shd w:fill="FFFFFF" w:val="clear"/>
            <w:vAlign w:val="center"/>
          </w:tcPr>
          <w:p>
            <w:pPr>
              <w:pStyle w:val="TableContents"/>
              <w:bidi w:val="0"/>
              <w:spacing w:before="0" w:after="283"/>
              <w:jc w:val="right"/>
              <w:rPr/>
            </w:pPr>
            <w:r>
              <w:rPr/>
              <w:t> </w:t>
            </w:r>
          </w:p>
        </w:tc>
        <w:tc>
          <w:tcPr>
            <w:tcW w:w="85"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475" w:type="dxa"/>
            <w:tcBorders/>
            <w:shd w:fill="FFFFFF" w:val="clear"/>
            <w:vAlign w:val="center"/>
          </w:tcPr>
          <w:p>
            <w:pPr>
              <w:pStyle w:val="TableContents"/>
              <w:bidi w:val="0"/>
              <w:spacing w:before="0" w:after="283"/>
              <w:jc w:val="right"/>
              <w:rPr/>
            </w:pPr>
            <w:r>
              <w:rPr/>
              <w:t> </w:t>
            </w:r>
          </w:p>
        </w:tc>
        <w:tc>
          <w:tcPr>
            <w:tcW w:w="85"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475"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71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paid for interest</w:t>
              <w:tab/>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7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617</w:t>
            </w:r>
          </w:p>
        </w:tc>
        <w:tc>
          <w:tcPr>
            <w:tcW w:w="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7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555</w:t>
            </w:r>
          </w:p>
        </w:tc>
        <w:tc>
          <w:tcPr>
            <w:tcW w:w="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7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432</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1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Cash paid for income taxes </w:t>
            </w:r>
            <w:r>
              <w:rPr>
                <w:rFonts w:ascii="Times New Roman;Times;Serif" w:hAnsi="Times New Roman;Times;Serif"/>
                <w:b w:val="false"/>
                <w:i w:val="false"/>
                <w:caps w:val="false"/>
                <w:smallCaps w:val="false"/>
                <w:position w:val="7"/>
                <w:sz w:val="16"/>
                <w:sz w:val="20"/>
              </w:rPr>
              <w:t>(a)</w:t>
            </w:r>
            <w:r>
              <w:rPr>
                <w:rFonts w:ascii="Times New Roman;Times;Serif" w:hAnsi="Times New Roman;Times;Serif"/>
                <w:b w:val="false"/>
                <w:i w:val="false"/>
                <w:caps w:val="false"/>
                <w:smallCaps w:val="false"/>
                <w:sz w:val="20"/>
              </w:rPr>
              <w:tab/>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7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258</w:t>
            </w:r>
          </w:p>
        </w:tc>
        <w:tc>
          <w:tcPr>
            <w:tcW w:w="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7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476</w:t>
            </w:r>
          </w:p>
        </w:tc>
        <w:tc>
          <w:tcPr>
            <w:tcW w:w="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7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1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paid for amounts included in the measurement of lease liabilities:</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475" w:type="dxa"/>
            <w:tcBorders/>
            <w:shd w:fill="CCEEFF" w:val="clear"/>
            <w:vAlign w:val="center"/>
          </w:tcPr>
          <w:p>
            <w:pPr>
              <w:pStyle w:val="TableContents"/>
              <w:bidi w:val="0"/>
              <w:spacing w:before="0" w:after="283"/>
              <w:jc w:val="right"/>
              <w:rPr/>
            </w:pPr>
            <w:r>
              <w:rPr/>
              <w:t> </w:t>
            </w:r>
          </w:p>
        </w:tc>
        <w:tc>
          <w:tcPr>
            <w:tcW w:w="85"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475" w:type="dxa"/>
            <w:tcBorders/>
            <w:shd w:fill="CCEEFF" w:val="clear"/>
            <w:vAlign w:val="center"/>
          </w:tcPr>
          <w:p>
            <w:pPr>
              <w:pStyle w:val="TableContents"/>
              <w:bidi w:val="0"/>
              <w:spacing w:before="0" w:after="283"/>
              <w:jc w:val="right"/>
              <w:rPr/>
            </w:pPr>
            <w:r>
              <w:rPr/>
              <w:t> </w:t>
            </w:r>
          </w:p>
        </w:tc>
        <w:tc>
          <w:tcPr>
            <w:tcW w:w="85"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47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71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cash flows for operating leases</w:t>
              <w:tab/>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7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w:t>
            </w:r>
          </w:p>
        </w:tc>
        <w:tc>
          <w:tcPr>
            <w:tcW w:w="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7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w:t>
            </w:r>
          </w:p>
        </w:tc>
        <w:tc>
          <w:tcPr>
            <w:tcW w:w="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7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1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cash flows for finance leases</w:t>
              <w:tab/>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7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w:t>
            </w:r>
          </w:p>
        </w:tc>
        <w:tc>
          <w:tcPr>
            <w:tcW w:w="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7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c>
          <w:tcPr>
            <w:tcW w:w="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7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1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Financing cash flows for finance leases</w:t>
              <w:tab/>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7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w:t>
            </w:r>
          </w:p>
        </w:tc>
        <w:tc>
          <w:tcPr>
            <w:tcW w:w="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7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w:t>
            </w:r>
          </w:p>
        </w:tc>
        <w:tc>
          <w:tcPr>
            <w:tcW w:w="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7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(a) </w:t>
      </w:r>
      <w:r>
        <w:rPr>
          <w:rFonts w:ascii="Times New Roman;Times;Serif" w:hAnsi="Times New Roman;Times;Serif"/>
          <w:b w:val="false"/>
          <w:i w:val="false"/>
          <w:caps w:val="false"/>
          <w:smallCaps w:val="false"/>
          <w:sz w:val="20"/>
        </w:rPr>
        <w:t>The amounts disclosed as income taxes paid include both cash tax payments made directly to taxing authorities and payments made by Cox to its parent in settlement of its share of consolidated income tax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4818" w:type="dxa"/>
        <w:jc w:val="left"/>
        <w:tblInd w:w="0" w:type="dxa"/>
        <w:tblLayout w:type="fixed"/>
        <w:tblCellMar>
          <w:top w:w="0" w:type="dxa"/>
          <w:left w:w="0" w:type="dxa"/>
          <w:bottom w:w="0" w:type="dxa"/>
          <w:right w:w="0" w:type="dxa"/>
        </w:tblCellMar>
      </w:tblPr>
      <w:tblGrid>
        <w:gridCol w:w="38"/>
        <w:gridCol w:w="170"/>
        <w:gridCol w:w="46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b/>
                <w:sz w:val="20"/>
              </w:rPr>
            </w:pPr>
            <w:r>
              <w:rPr>
                <w:b/>
                <w:sz w:val="20"/>
              </w:rPr>
              <w:t>5.</w:t>
            </w:r>
          </w:p>
        </w:tc>
        <w:tc>
          <w:tcPr>
            <w:tcW w:w="4610" w:type="dxa"/>
            <w:tcBorders/>
            <w:vAlign w:val="center"/>
          </w:tcPr>
          <w:p>
            <w:pPr>
              <w:pStyle w:val="TableContents"/>
              <w:bidi w:val="0"/>
              <w:spacing w:before="0" w:after="283"/>
              <w:jc w:val="both"/>
              <w:rPr>
                <w:b/>
              </w:rPr>
            </w:pPr>
            <w:r>
              <w:rPr>
                <w:b/>
              </w:rPr>
              <w:t>GOODWILL AND INTANGIBLE ASSETS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Goodwill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changes in the carrying value of goodwill are as follows:</w:t>
      </w:r>
    </w:p>
    <w:p>
      <w:pPr>
        <w:pStyle w:val="TextBody"/>
        <w:bidi w:val="0"/>
        <w:spacing w:before="0" w:after="0"/>
        <w:ind w:left="0" w:right="0" w:hanging="0"/>
        <w:jc w:val="left"/>
        <w:rPr>
          <w:caps w:val="false"/>
          <w:smallCaps w:val="false"/>
        </w:rPr>
      </w:pPr>
      <w:r>
        <w:rPr>
          <w:caps w:val="false"/>
          <w:smallCaps w:val="false"/>
        </w:rPr>
        <w:t> </w:t>
      </w:r>
    </w:p>
    <w:tbl>
      <w:tblPr>
        <w:tblW w:w="6699" w:type="dxa"/>
        <w:jc w:val="left"/>
        <w:tblInd w:w="0" w:type="dxa"/>
        <w:tblLayout w:type="fixed"/>
        <w:tblCellMar>
          <w:top w:w="0" w:type="dxa"/>
          <w:left w:w="0" w:type="dxa"/>
          <w:bottom w:w="28" w:type="dxa"/>
          <w:right w:w="0" w:type="dxa"/>
        </w:tblCellMar>
      </w:tblPr>
      <w:tblGrid>
        <w:gridCol w:w="3275"/>
        <w:gridCol w:w="60"/>
        <w:gridCol w:w="167"/>
        <w:gridCol w:w="648"/>
        <w:gridCol w:w="60"/>
        <w:gridCol w:w="60"/>
        <w:gridCol w:w="210"/>
        <w:gridCol w:w="920"/>
        <w:gridCol w:w="80"/>
        <w:gridCol w:w="60"/>
        <w:gridCol w:w="221"/>
        <w:gridCol w:w="863"/>
        <w:gridCol w:w="75"/>
      </w:tblGrid>
      <w:tr>
        <w:trPr/>
        <w:tc>
          <w:tcPr>
            <w:tcW w:w="3275"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millions)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1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Gross</w:t>
              <w:br/>
              <w:t>Carrying</w:t>
              <w:br/>
              <w:t>Amount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3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Accumulated</w:t>
              <w:br/>
              <w:t xml:space="preserve">Impairment </w:t>
              <w:br/>
              <w:t>Loss</w:t>
            </w:r>
          </w:p>
        </w:tc>
        <w:tc>
          <w:tcPr>
            <w:tcW w:w="8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84"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Goodwill — </w:t>
              <w:br/>
              <w:t>net</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27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Balance—January 1, 2024</w:t>
              <w:tab/>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7"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48"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2,735</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1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2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(1,477</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21"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63"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1,258</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27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Measurement period adjustments</w:t>
              <w:tab/>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7"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8"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10"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bottom w:val="single" w:sz="8" w:space="0" w:color="000000"/>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21"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3"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27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Balance—December 31, 2024 and 2025</w:t>
              <w:tab/>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7" w:type="dxa"/>
            <w:tcBorders>
              <w:bottom w:val="double" w:sz="6" w:space="0" w:color="000000"/>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48"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2,737</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10" w:type="dxa"/>
            <w:tcBorders>
              <w:bottom w:val="double" w:sz="6" w:space="0" w:color="000000"/>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20"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(1,477</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21" w:type="dxa"/>
            <w:tcBorders>
              <w:bottom w:val="double" w:sz="6" w:space="0" w:color="000000"/>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63"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1,260</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additional information regarding changes in goodwill, see Note 2 — Summary of Significant Accounting Policies and Note 3 — Acquisitions and Divestitures. For additional information regarding the determination of fair value, see Note 12 — Fair Value Measurements.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Intangible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carrying amounts of Cox's intangible assets are as follows: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75"/>
        <w:gridCol w:w="60"/>
        <w:gridCol w:w="141"/>
        <w:gridCol w:w="614"/>
        <w:gridCol w:w="60"/>
        <w:gridCol w:w="60"/>
        <w:gridCol w:w="221"/>
        <w:gridCol w:w="594"/>
        <w:gridCol w:w="60"/>
        <w:gridCol w:w="60"/>
        <w:gridCol w:w="278"/>
        <w:gridCol w:w="882"/>
        <w:gridCol w:w="80"/>
        <w:gridCol w:w="60"/>
        <w:gridCol w:w="142"/>
        <w:gridCol w:w="673"/>
        <w:gridCol w:w="60"/>
        <w:gridCol w:w="60"/>
        <w:gridCol w:w="221"/>
        <w:gridCol w:w="594"/>
        <w:gridCol w:w="60"/>
        <w:gridCol w:w="60"/>
        <w:gridCol w:w="278"/>
        <w:gridCol w:w="882"/>
        <w:gridCol w:w="80"/>
        <w:gridCol w:w="60"/>
        <w:gridCol w:w="142"/>
        <w:gridCol w:w="673"/>
        <w:gridCol w:w="75"/>
      </w:tblGrid>
      <w:tr>
        <w:trPr/>
        <w:tc>
          <w:tcPr>
            <w:tcW w:w="29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050"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050"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2024</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97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millions, except for WARUL)</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WARUL</w:t>
              <w:br/>
              <w:t xml:space="preserve">(in </w:t>
              <w:br/>
              <w:t>years)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15"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Gross</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Carrying</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Value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60"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Accumulated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Amortization</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15"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Carrying</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Value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15"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Gross</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Carrying</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Value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60"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Accumulated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Amortization</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15"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Carrying</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Value</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975" w:type="dxa"/>
            <w:tcBorders/>
            <w:shd w:fill="CCEE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Finite-lived intangible assets:</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614"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59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left"/>
              <w:rPr/>
            </w:pPr>
            <w:r>
              <w:rPr/>
              <w:t> </w:t>
            </w:r>
          </w:p>
        </w:tc>
        <w:tc>
          <w:tcPr>
            <w:tcW w:w="882"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67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59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left"/>
              <w:rPr/>
            </w:pPr>
            <w:r>
              <w:rPr/>
              <w:t> </w:t>
            </w:r>
          </w:p>
        </w:tc>
        <w:tc>
          <w:tcPr>
            <w:tcW w:w="882"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673"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29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Customer relationships</w:t>
              <w:tab/>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4"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9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7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8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7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9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7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8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(108</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7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514</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9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Amortizable trade names</w:t>
              <w:tab/>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4"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9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Franchise renewal and contribution costs</w:t>
              <w:tab/>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4" w:type="dxa"/>
            <w:tcBorders/>
            <w:shd w:fill="FFFFFF" w:val="clear"/>
            <w:vAlign w:val="center"/>
          </w:tcPr>
          <w:p>
            <w:pPr>
              <w:pStyle w:val="TableContents"/>
              <w:bidi w:val="0"/>
              <w:spacing w:before="0" w:after="283"/>
              <w:jc w:val="center"/>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3"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9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agreements and rights</w:t>
              <w:tab/>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4"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7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8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7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7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8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7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9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finite-lived intangible assets</w:t>
              <w:tab/>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1" w:type="dxa"/>
            <w:tcBorders/>
            <w:shd w:fill="FFFFFF" w:val="clear"/>
            <w:vAlign w:val="center"/>
          </w:tcPr>
          <w:p>
            <w:pPr>
              <w:pStyle w:val="TableContents"/>
              <w:bidi w:val="0"/>
              <w:spacing w:before="0" w:after="283"/>
              <w:jc w:val="left"/>
              <w:rPr/>
            </w:pPr>
            <w:r>
              <w:rPr/>
              <w:t> </w:t>
            </w:r>
          </w:p>
        </w:tc>
        <w:tc>
          <w:tcPr>
            <w:tcW w:w="614"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1"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94"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78"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8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73"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1"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94"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78"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8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73"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566</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9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614"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59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left"/>
              <w:rPr/>
            </w:pPr>
            <w:r>
              <w:rPr/>
              <w:t> </w:t>
            </w:r>
          </w:p>
        </w:tc>
        <w:tc>
          <w:tcPr>
            <w:tcW w:w="882"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67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59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left"/>
              <w:rPr/>
            </w:pPr>
            <w:r>
              <w:rPr/>
              <w:t> </w:t>
            </w:r>
          </w:p>
        </w:tc>
        <w:tc>
          <w:tcPr>
            <w:tcW w:w="882"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673"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2975"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Indefinite-lived intangible assets:</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614"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59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8" w:type="dxa"/>
            <w:tcBorders/>
            <w:shd w:fill="FFFFFF" w:val="clear"/>
            <w:vAlign w:val="center"/>
          </w:tcPr>
          <w:p>
            <w:pPr>
              <w:pStyle w:val="TableContents"/>
              <w:bidi w:val="0"/>
              <w:spacing w:before="0" w:after="283"/>
              <w:jc w:val="left"/>
              <w:rPr/>
            </w:pPr>
            <w:r>
              <w:rPr/>
              <w:t> </w:t>
            </w:r>
          </w:p>
        </w:tc>
        <w:tc>
          <w:tcPr>
            <w:tcW w:w="882"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673"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59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8" w:type="dxa"/>
            <w:tcBorders/>
            <w:shd w:fill="FFFFFF" w:val="clear"/>
            <w:vAlign w:val="center"/>
          </w:tcPr>
          <w:p>
            <w:pPr>
              <w:pStyle w:val="TableContents"/>
              <w:bidi w:val="0"/>
              <w:spacing w:before="0" w:after="283"/>
              <w:jc w:val="left"/>
              <w:rPr/>
            </w:pPr>
            <w:r>
              <w:rPr/>
              <w:t> </w:t>
            </w:r>
          </w:p>
        </w:tc>
        <w:tc>
          <w:tcPr>
            <w:tcW w:w="882"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673"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29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Cable franchise value</w:t>
              <w:tab/>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1" w:type="dxa"/>
            <w:tcBorders/>
            <w:shd w:fill="CCEEFF" w:val="clear"/>
            <w:vAlign w:val="center"/>
          </w:tcPr>
          <w:p>
            <w:pPr>
              <w:pStyle w:val="TableContents"/>
              <w:bidi w:val="0"/>
              <w:spacing w:before="0" w:after="283"/>
              <w:jc w:val="left"/>
              <w:rPr/>
            </w:pPr>
            <w:r>
              <w:rPr/>
              <w:t> </w:t>
            </w:r>
          </w:p>
        </w:tc>
        <w:tc>
          <w:tcPr>
            <w:tcW w:w="614"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1" w:type="dxa"/>
            <w:tcBorders/>
            <w:shd w:fill="CCEEFF" w:val="clear"/>
            <w:vAlign w:val="center"/>
          </w:tcPr>
          <w:p>
            <w:pPr>
              <w:pStyle w:val="TableContents"/>
              <w:bidi w:val="0"/>
              <w:spacing w:before="0" w:after="283"/>
              <w:jc w:val="left"/>
              <w:rPr/>
            </w:pPr>
            <w:r>
              <w:rPr/>
              <w:t> </w:t>
            </w:r>
          </w:p>
        </w:tc>
        <w:tc>
          <w:tcPr>
            <w:tcW w:w="59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78" w:type="dxa"/>
            <w:tcBorders/>
            <w:shd w:fill="CCEEFF" w:val="clear"/>
            <w:vAlign w:val="center"/>
          </w:tcPr>
          <w:p>
            <w:pPr>
              <w:pStyle w:val="TableContents"/>
              <w:bidi w:val="0"/>
              <w:spacing w:before="0" w:after="283"/>
              <w:jc w:val="left"/>
              <w:rPr/>
            </w:pPr>
            <w:r>
              <w:rPr/>
              <w:t> </w:t>
            </w:r>
          </w:p>
        </w:tc>
        <w:tc>
          <w:tcPr>
            <w:tcW w:w="882"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10,275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59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left"/>
              <w:rPr/>
            </w:pPr>
            <w:r>
              <w:rPr/>
              <w:t> </w:t>
            </w:r>
          </w:p>
        </w:tc>
        <w:tc>
          <w:tcPr>
            <w:tcW w:w="882"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15,879</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9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Trade names and other</w:t>
              <w:tab/>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1" w:type="dxa"/>
            <w:tcBorders/>
            <w:shd w:fill="FFFFFF" w:val="clear"/>
            <w:vAlign w:val="center"/>
          </w:tcPr>
          <w:p>
            <w:pPr>
              <w:pStyle w:val="TableContents"/>
              <w:bidi w:val="0"/>
              <w:spacing w:before="0" w:after="283"/>
              <w:jc w:val="left"/>
              <w:rPr/>
            </w:pPr>
            <w:r>
              <w:rPr/>
              <w:t> </w:t>
            </w:r>
          </w:p>
        </w:tc>
        <w:tc>
          <w:tcPr>
            <w:tcW w:w="614"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1" w:type="dxa"/>
            <w:tcBorders/>
            <w:shd w:fill="FFFFFF" w:val="clear"/>
            <w:vAlign w:val="center"/>
          </w:tcPr>
          <w:p>
            <w:pPr>
              <w:pStyle w:val="TableContents"/>
              <w:bidi w:val="0"/>
              <w:spacing w:before="0" w:after="283"/>
              <w:jc w:val="left"/>
              <w:rPr/>
            </w:pPr>
            <w:r>
              <w:rPr/>
              <w:t> </w:t>
            </w:r>
          </w:p>
        </w:tc>
        <w:tc>
          <w:tcPr>
            <w:tcW w:w="59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78" w:type="dxa"/>
            <w:tcBorders/>
            <w:shd w:fill="FFFFFF" w:val="clear"/>
            <w:vAlign w:val="center"/>
          </w:tcPr>
          <w:p>
            <w:pPr>
              <w:pStyle w:val="TableContents"/>
              <w:bidi w:val="0"/>
              <w:spacing w:before="0" w:after="283"/>
              <w:jc w:val="left"/>
              <w:rPr/>
            </w:pPr>
            <w:r>
              <w:rPr/>
              <w:t> </w:t>
            </w:r>
          </w:p>
        </w:tc>
        <w:tc>
          <w:tcPr>
            <w:tcW w:w="882"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59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8" w:type="dxa"/>
            <w:tcBorders/>
            <w:shd w:fill="FFFFFF" w:val="clear"/>
            <w:vAlign w:val="center"/>
          </w:tcPr>
          <w:p>
            <w:pPr>
              <w:pStyle w:val="TableContents"/>
              <w:bidi w:val="0"/>
              <w:spacing w:before="0" w:after="283"/>
              <w:jc w:val="left"/>
              <w:rPr/>
            </w:pPr>
            <w:r>
              <w:rPr/>
              <w:t> </w:t>
            </w:r>
          </w:p>
        </w:tc>
        <w:tc>
          <w:tcPr>
            <w:tcW w:w="882"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351</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9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CBRS spectrum licenses</w:t>
              <w:tab/>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1" w:type="dxa"/>
            <w:tcBorders/>
            <w:shd w:fill="CCEEFF" w:val="clear"/>
            <w:vAlign w:val="center"/>
          </w:tcPr>
          <w:p>
            <w:pPr>
              <w:pStyle w:val="TableContents"/>
              <w:bidi w:val="0"/>
              <w:spacing w:before="0" w:after="283"/>
              <w:jc w:val="left"/>
              <w:rPr/>
            </w:pPr>
            <w:r>
              <w:rPr/>
              <w:t> </w:t>
            </w:r>
          </w:p>
        </w:tc>
        <w:tc>
          <w:tcPr>
            <w:tcW w:w="614"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1" w:type="dxa"/>
            <w:tcBorders/>
            <w:shd w:fill="CCEEFF" w:val="clear"/>
            <w:vAlign w:val="center"/>
          </w:tcPr>
          <w:p>
            <w:pPr>
              <w:pStyle w:val="TableContents"/>
              <w:bidi w:val="0"/>
              <w:spacing w:before="0" w:after="283"/>
              <w:jc w:val="left"/>
              <w:rPr/>
            </w:pPr>
            <w:r>
              <w:rPr/>
              <w:t> </w:t>
            </w:r>
          </w:p>
        </w:tc>
        <w:tc>
          <w:tcPr>
            <w:tcW w:w="59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78" w:type="dxa"/>
            <w:tcBorders/>
            <w:shd w:fill="CCEEFF" w:val="clear"/>
            <w:vAlign w:val="center"/>
          </w:tcPr>
          <w:p>
            <w:pPr>
              <w:pStyle w:val="TableContents"/>
              <w:bidi w:val="0"/>
              <w:spacing w:before="0" w:after="283"/>
              <w:jc w:val="left"/>
              <w:rPr/>
            </w:pPr>
            <w:r>
              <w:rPr/>
              <w:t> </w:t>
            </w:r>
          </w:p>
        </w:tc>
        <w:tc>
          <w:tcPr>
            <w:tcW w:w="882"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7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59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left"/>
              <w:rPr/>
            </w:pPr>
            <w:r>
              <w:rPr/>
              <w:t> </w:t>
            </w:r>
          </w:p>
        </w:tc>
        <w:tc>
          <w:tcPr>
            <w:tcW w:w="882"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7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213</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9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indefinite-lived intangible assets</w:t>
              <w:tab/>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1" w:type="dxa"/>
            <w:tcBorders/>
            <w:shd w:fill="FFFFFF" w:val="clear"/>
            <w:vAlign w:val="center"/>
          </w:tcPr>
          <w:p>
            <w:pPr>
              <w:pStyle w:val="TableContents"/>
              <w:bidi w:val="0"/>
              <w:spacing w:before="0" w:after="283"/>
              <w:jc w:val="left"/>
              <w:rPr/>
            </w:pPr>
            <w:r>
              <w:rPr/>
              <w:t> </w:t>
            </w:r>
          </w:p>
        </w:tc>
        <w:tc>
          <w:tcPr>
            <w:tcW w:w="614"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1" w:type="dxa"/>
            <w:tcBorders/>
            <w:shd w:fill="FFFFFF" w:val="clear"/>
            <w:vAlign w:val="center"/>
          </w:tcPr>
          <w:p>
            <w:pPr>
              <w:pStyle w:val="TableContents"/>
              <w:bidi w:val="0"/>
              <w:spacing w:before="0" w:after="283"/>
              <w:jc w:val="left"/>
              <w:rPr/>
            </w:pPr>
            <w:r>
              <w:rPr/>
              <w:t> </w:t>
            </w:r>
          </w:p>
        </w:tc>
        <w:tc>
          <w:tcPr>
            <w:tcW w:w="59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78" w:type="dxa"/>
            <w:tcBorders/>
            <w:shd w:fill="FFFFFF" w:val="clear"/>
            <w:vAlign w:val="center"/>
          </w:tcPr>
          <w:p>
            <w:pPr>
              <w:pStyle w:val="TableContents"/>
              <w:bidi w:val="0"/>
              <w:spacing w:before="0" w:after="283"/>
              <w:jc w:val="left"/>
              <w:rPr/>
            </w:pPr>
            <w:r>
              <w:rPr/>
              <w:t> </w:t>
            </w:r>
          </w:p>
        </w:tc>
        <w:tc>
          <w:tcPr>
            <w:tcW w:w="882"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7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10,839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59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8" w:type="dxa"/>
            <w:tcBorders/>
            <w:shd w:fill="FFFFFF" w:val="clear"/>
            <w:vAlign w:val="center"/>
          </w:tcPr>
          <w:p>
            <w:pPr>
              <w:pStyle w:val="TableContents"/>
              <w:bidi w:val="0"/>
              <w:spacing w:before="0" w:after="283"/>
              <w:jc w:val="left"/>
              <w:rPr/>
            </w:pPr>
            <w:r>
              <w:rPr/>
              <w:t> </w:t>
            </w:r>
          </w:p>
        </w:tc>
        <w:tc>
          <w:tcPr>
            <w:tcW w:w="882"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7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16,443</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9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614"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59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left"/>
              <w:rPr/>
            </w:pPr>
            <w:r>
              <w:rPr/>
              <w:t> </w:t>
            </w:r>
          </w:p>
        </w:tc>
        <w:tc>
          <w:tcPr>
            <w:tcW w:w="882"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67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59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left"/>
              <w:rPr/>
            </w:pPr>
            <w:r>
              <w:rPr/>
              <w:t> </w:t>
            </w:r>
          </w:p>
        </w:tc>
        <w:tc>
          <w:tcPr>
            <w:tcW w:w="882"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673"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29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intangible assets — net</w:t>
              <w:tab/>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1" w:type="dxa"/>
            <w:tcBorders/>
            <w:shd w:fill="FFFFFF" w:val="clear"/>
            <w:vAlign w:val="center"/>
          </w:tcPr>
          <w:p>
            <w:pPr>
              <w:pStyle w:val="TableContents"/>
              <w:bidi w:val="0"/>
              <w:spacing w:before="0" w:after="283"/>
              <w:jc w:val="left"/>
              <w:rPr/>
            </w:pPr>
            <w:r>
              <w:rPr/>
              <w:t> </w:t>
            </w:r>
          </w:p>
        </w:tc>
        <w:tc>
          <w:tcPr>
            <w:tcW w:w="614"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1" w:type="dxa"/>
            <w:tcBorders/>
            <w:shd w:fill="FFFFFF" w:val="clear"/>
            <w:vAlign w:val="center"/>
          </w:tcPr>
          <w:p>
            <w:pPr>
              <w:pStyle w:val="TableContents"/>
              <w:bidi w:val="0"/>
              <w:spacing w:before="0" w:after="283"/>
              <w:jc w:val="left"/>
              <w:rPr/>
            </w:pPr>
            <w:r>
              <w:rPr/>
              <w:t> </w:t>
            </w:r>
          </w:p>
        </w:tc>
        <w:tc>
          <w:tcPr>
            <w:tcW w:w="59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78" w:type="dxa"/>
            <w:tcBorders/>
            <w:shd w:fill="FFFFFF" w:val="clear"/>
            <w:vAlign w:val="center"/>
          </w:tcPr>
          <w:p>
            <w:pPr>
              <w:pStyle w:val="TableContents"/>
              <w:bidi w:val="0"/>
              <w:spacing w:before="0" w:after="283"/>
              <w:jc w:val="left"/>
              <w:rPr/>
            </w:pPr>
            <w:r>
              <w:rPr/>
              <w:t> </w:t>
            </w:r>
          </w:p>
        </w:tc>
        <w:tc>
          <w:tcPr>
            <w:tcW w:w="882"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73"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11,374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59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8" w:type="dxa"/>
            <w:tcBorders/>
            <w:shd w:fill="FFFFFF" w:val="clear"/>
            <w:vAlign w:val="center"/>
          </w:tcPr>
          <w:p>
            <w:pPr>
              <w:pStyle w:val="TableContents"/>
              <w:bidi w:val="0"/>
              <w:spacing w:before="0" w:after="283"/>
              <w:jc w:val="left"/>
              <w:rPr/>
            </w:pPr>
            <w:r>
              <w:rPr/>
              <w:t> </w:t>
            </w:r>
          </w:p>
        </w:tc>
        <w:tc>
          <w:tcPr>
            <w:tcW w:w="882"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73"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17,009</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Amortization expense related to finite-lived intangible assets totaled $34 million, $35 million and $37 million for the years ended December 31, 2025, 2024 and 2023,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recorded an impairment charge of $5.6 billion related to cable franchise value for the year ended December 31, 2025, which is reflected as impairment of intangible assets on the Consolidated Statements of Operations. The decline in the estimated fair value is attributable to updated long-term financial projections that reflect a reduction in estimated future cash flows due to increased competition and changes in the macroeconomic outlook based on currently available data as well as recent declines in industry market multiples.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amortization expense for finite-lived intangible assets as of December 31, 2025, is estimated to be as follows:</w:t>
      </w:r>
    </w:p>
    <w:p>
      <w:pPr>
        <w:pStyle w:val="TextBody"/>
        <w:bidi w:val="0"/>
        <w:spacing w:before="0" w:after="0"/>
        <w:ind w:left="0" w:right="0" w:hanging="0"/>
        <w:jc w:val="left"/>
        <w:rPr>
          <w:caps w:val="false"/>
          <w:smallCaps w:val="false"/>
        </w:rPr>
      </w:pPr>
      <w:r>
        <w:rPr>
          <w:caps w:val="false"/>
          <w:smallCaps w:val="false"/>
        </w:rPr>
        <w:t>  </w:t>
      </w:r>
    </w:p>
    <w:tbl>
      <w:tblPr>
        <w:tblW w:w="2619" w:type="dxa"/>
        <w:jc w:val="left"/>
        <w:tblInd w:w="0" w:type="dxa"/>
        <w:tblLayout w:type="fixed"/>
        <w:tblCellMar>
          <w:top w:w="0" w:type="dxa"/>
          <w:left w:w="0" w:type="dxa"/>
          <w:bottom w:w="28" w:type="dxa"/>
          <w:right w:w="0" w:type="dxa"/>
        </w:tblCellMar>
      </w:tblPr>
      <w:tblGrid>
        <w:gridCol w:w="1040"/>
        <w:gridCol w:w="60"/>
        <w:gridCol w:w="391"/>
        <w:gridCol w:w="1053"/>
        <w:gridCol w:w="75"/>
      </w:tblGrid>
      <w:tr>
        <w:trPr/>
        <w:tc>
          <w:tcPr>
            <w:tcW w:w="1040"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millions)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44"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Finite-Lived</w:t>
              <w:br/>
              <w:t>Intangible Assets</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04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2026</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91"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3"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04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2027</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91"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53"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04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2028</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91"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53"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04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2029</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91"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53"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04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2030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91"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53"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04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Thereafter</w:t>
              <w:tab/>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91"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3"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377</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04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w:t>
              <w:tab/>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91" w:type="dxa"/>
            <w:tcBorders>
              <w:bottom w:val="double" w:sz="6" w:space="0" w:color="000000"/>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3"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535</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actual amortization expense reported in future periods could differ from these estimates as a result of new intangible asset acquisitions, changes in useful lives and other relevant factors.</w:t>
      </w:r>
    </w:p>
    <w:p>
      <w:pPr>
        <w:pStyle w:val="TextBody"/>
        <w:bidi w:val="0"/>
        <w:spacing w:before="0" w:after="0"/>
        <w:ind w:left="0" w:right="0" w:hanging="0"/>
        <w:jc w:val="left"/>
        <w:rPr>
          <w:caps w:val="false"/>
          <w:smallCaps w:val="false"/>
        </w:rPr>
      </w:pPr>
      <w:r>
        <w:rPr>
          <w:caps w:val="false"/>
          <w:smallCaps w:val="false"/>
        </w:rPr>
        <w:t>  </w:t>
      </w:r>
    </w:p>
    <w:tbl>
      <w:tblPr>
        <w:tblW w:w="3933" w:type="dxa"/>
        <w:jc w:val="left"/>
        <w:tblInd w:w="0" w:type="dxa"/>
        <w:tblLayout w:type="fixed"/>
        <w:tblCellMar>
          <w:top w:w="0" w:type="dxa"/>
          <w:left w:w="0" w:type="dxa"/>
          <w:bottom w:w="0" w:type="dxa"/>
          <w:right w:w="0" w:type="dxa"/>
        </w:tblCellMar>
      </w:tblPr>
      <w:tblGrid>
        <w:gridCol w:w="38"/>
        <w:gridCol w:w="200"/>
        <w:gridCol w:w="369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b/>
              </w:rPr>
            </w:pPr>
            <w:r>
              <w:rPr>
                <w:b/>
              </w:rPr>
              <w:t>6.</w:t>
            </w:r>
          </w:p>
        </w:tc>
        <w:tc>
          <w:tcPr>
            <w:tcW w:w="3695" w:type="dxa"/>
            <w:tcBorders/>
            <w:vAlign w:val="center"/>
          </w:tcPr>
          <w:p>
            <w:pPr>
              <w:pStyle w:val="TableContents"/>
              <w:bidi w:val="0"/>
              <w:spacing w:before="0" w:after="283"/>
              <w:jc w:val="both"/>
              <w:rPr>
                <w:b/>
              </w:rPr>
            </w:pPr>
            <w:r>
              <w:rPr>
                <w:b/>
              </w:rPr>
              <w:t>RESTRUCTURING ACTIVITIES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2024, Cox announced a new organizational structure, which allocates needed resources to growth areas of the business. As a result, certain restructuring initiatives were implemented, which include severance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represents the changes in the balances of the restructuring-related liabilities, which are reflected within accrued labor and benefits in the Consolidated Balance Sheets:</w:t>
      </w:r>
    </w:p>
    <w:p>
      <w:pPr>
        <w:pStyle w:val="TextBody"/>
        <w:bidi w:val="0"/>
        <w:spacing w:before="0" w:after="0"/>
        <w:ind w:left="0" w:right="0" w:hanging="0"/>
        <w:jc w:val="left"/>
        <w:rPr>
          <w:caps w:val="false"/>
          <w:smallCaps w:val="false"/>
        </w:rPr>
      </w:pPr>
      <w:r>
        <w:rPr>
          <w:caps w:val="false"/>
          <w:smallCaps w:val="false"/>
        </w:rPr>
        <w:t> </w:t>
      </w:r>
    </w:p>
    <w:tbl>
      <w:tblPr>
        <w:tblW w:w="3863" w:type="dxa"/>
        <w:jc w:val="left"/>
        <w:tblInd w:w="0" w:type="dxa"/>
        <w:tblLayout w:type="fixed"/>
        <w:tblCellMar>
          <w:top w:w="0" w:type="dxa"/>
          <w:left w:w="0" w:type="dxa"/>
          <w:bottom w:w="0" w:type="dxa"/>
          <w:right w:w="0" w:type="dxa"/>
        </w:tblCellMar>
      </w:tblPr>
      <w:tblGrid>
        <w:gridCol w:w="2555"/>
        <w:gridCol w:w="60"/>
        <w:gridCol w:w="131"/>
        <w:gridCol w:w="413"/>
        <w:gridCol w:w="83"/>
        <w:gridCol w:w="62"/>
        <w:gridCol w:w="131"/>
        <w:gridCol w:w="353"/>
        <w:gridCol w:w="75"/>
      </w:tblGrid>
      <w:tr>
        <w:trPr/>
        <w:tc>
          <w:tcPr>
            <w:tcW w:w="25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73"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55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millions)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4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83" w:type="dxa"/>
            <w:tcBorders/>
            <w:vAlign w:val="center"/>
          </w:tcPr>
          <w:p>
            <w:pPr>
              <w:pStyle w:val="TableContents"/>
              <w:bidi w:val="0"/>
              <w:spacing w:before="0" w:after="283"/>
              <w:jc w:val="left"/>
              <w:rPr>
                <w:caps w:val="false"/>
                <w:smallCaps w:val="false"/>
              </w:rPr>
            </w:pPr>
            <w:r>
              <w:rPr>
                <w:caps w:val="false"/>
                <w:smallCaps w:val="false"/>
              </w:rPr>
              <w:t> </w:t>
            </w:r>
          </w:p>
        </w:tc>
        <w:tc>
          <w:tcPr>
            <w:tcW w:w="62" w:type="dxa"/>
            <w:tcBorders/>
            <w:vAlign w:val="center"/>
          </w:tcPr>
          <w:p>
            <w:pPr>
              <w:pStyle w:val="TableContents"/>
              <w:bidi w:val="0"/>
              <w:spacing w:before="0" w:after="283"/>
              <w:jc w:val="left"/>
              <w:rPr>
                <w:caps w:val="false"/>
                <w:smallCaps w:val="false"/>
              </w:rPr>
            </w:pPr>
            <w:r>
              <w:rPr>
                <w:caps w:val="false"/>
                <w:smallCaps w:val="false"/>
              </w:rPr>
              <w:t> </w:t>
            </w:r>
          </w:p>
        </w:tc>
        <w:tc>
          <w:tcPr>
            <w:tcW w:w="48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5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Balance at beginning of period</w:t>
              <w:tab/>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1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180</w:t>
            </w:r>
          </w:p>
        </w:tc>
        <w:tc>
          <w:tcPr>
            <w:tcW w:w="8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353"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5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Expense</w:t>
            </w:r>
            <w:r>
              <w:rPr>
                <w:rFonts w:ascii="Times New Roman;Times;Serif" w:hAnsi="Times New Roman;Times;Serif"/>
                <w:b w:val="false"/>
                <w:i w:val="false"/>
                <w:caps w:val="false"/>
                <w:smallCaps w:val="false"/>
                <w:position w:val="7"/>
                <w:sz w:val="16"/>
                <w:sz w:val="20"/>
              </w:rPr>
              <w:t>(a)</w:t>
            </w:r>
            <w:r>
              <w:rPr>
                <w:rFonts w:ascii="Times New Roman;Times;Serif" w:hAnsi="Times New Roman;Times;Serif"/>
                <w:b w:val="false"/>
                <w:i w:val="false"/>
                <w:caps w:val="false"/>
                <w:smallCaps w:val="false"/>
                <w:sz w:val="20"/>
              </w:rPr>
              <w:tab/>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13"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5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5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Payments</w:t>
              <w:tab/>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1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(176</w:t>
            </w:r>
          </w:p>
        </w:tc>
        <w:tc>
          <w:tcPr>
            <w:tcW w:w="8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353"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5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Balance at end of period</w:t>
              <w:tab/>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13"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8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353"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(a) </w:t>
      </w:r>
      <w:r>
        <w:rPr>
          <w:rFonts w:ascii="Times New Roman;Times;Serif" w:hAnsi="Times New Roman;Times;Serif"/>
          <w:b w:val="false"/>
          <w:i w:val="false"/>
          <w:caps w:val="false"/>
          <w:smallCaps w:val="false"/>
          <w:sz w:val="20"/>
        </w:rPr>
        <w:t>Restructuring-related charges were recorded to other — net on the Consolidated Statement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188" w:type="dxa"/>
        <w:jc w:val="left"/>
        <w:tblInd w:w="0" w:type="dxa"/>
        <w:tblLayout w:type="fixed"/>
        <w:tblCellMar>
          <w:top w:w="0" w:type="dxa"/>
          <w:left w:w="0" w:type="dxa"/>
          <w:bottom w:w="0" w:type="dxa"/>
          <w:right w:w="0" w:type="dxa"/>
        </w:tblCellMar>
      </w:tblPr>
      <w:tblGrid>
        <w:gridCol w:w="38"/>
        <w:gridCol w:w="170"/>
        <w:gridCol w:w="9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b/>
                <w:sz w:val="20"/>
              </w:rPr>
            </w:pPr>
            <w:r>
              <w:rPr>
                <w:b/>
                <w:sz w:val="20"/>
              </w:rPr>
              <w:t>7.</w:t>
            </w:r>
          </w:p>
        </w:tc>
        <w:tc>
          <w:tcPr>
            <w:tcW w:w="980" w:type="dxa"/>
            <w:tcBorders/>
            <w:vAlign w:val="center"/>
          </w:tcPr>
          <w:p>
            <w:pPr>
              <w:pStyle w:val="TableContents"/>
              <w:bidi w:val="0"/>
              <w:spacing w:before="0" w:after="283"/>
              <w:jc w:val="both"/>
              <w:rPr>
                <w:b/>
              </w:rPr>
            </w:pPr>
            <w:r>
              <w:rPr>
                <w:b/>
              </w:rPr>
              <w:t>LEASES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components of lease related expenses — net are as follows:</w:t>
      </w:r>
    </w:p>
    <w:p>
      <w:pPr>
        <w:pStyle w:val="TextBody"/>
        <w:bidi w:val="0"/>
        <w:spacing w:before="0" w:after="0"/>
        <w:ind w:left="0" w:right="0" w:hanging="0"/>
        <w:jc w:val="left"/>
        <w:rPr>
          <w:caps w:val="false"/>
          <w:smallCaps w:val="false"/>
        </w:rPr>
      </w:pPr>
      <w:r>
        <w:rPr>
          <w:caps w:val="false"/>
          <w:smallCaps w:val="false"/>
        </w:rPr>
        <w:t> </w:t>
      </w:r>
    </w:p>
    <w:tbl>
      <w:tblPr>
        <w:tblW w:w="8682" w:type="dxa"/>
        <w:jc w:val="left"/>
        <w:tblInd w:w="0" w:type="dxa"/>
        <w:tblLayout w:type="fixed"/>
        <w:tblCellMar>
          <w:top w:w="0" w:type="dxa"/>
          <w:left w:w="0" w:type="dxa"/>
          <w:bottom w:w="0" w:type="dxa"/>
          <w:right w:w="0" w:type="dxa"/>
        </w:tblCellMar>
      </w:tblPr>
      <w:tblGrid>
        <w:gridCol w:w="6230"/>
        <w:gridCol w:w="60"/>
        <w:gridCol w:w="173"/>
        <w:gridCol w:w="464"/>
        <w:gridCol w:w="110"/>
        <w:gridCol w:w="83"/>
        <w:gridCol w:w="173"/>
        <w:gridCol w:w="464"/>
        <w:gridCol w:w="110"/>
        <w:gridCol w:w="83"/>
        <w:gridCol w:w="173"/>
        <w:gridCol w:w="464"/>
        <w:gridCol w:w="95"/>
      </w:tblGrid>
      <w:tr>
        <w:trPr/>
        <w:tc>
          <w:tcPr>
            <w:tcW w:w="62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297"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Years Ended December 31,</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23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millions)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3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83" w:type="dxa"/>
            <w:tcBorders/>
            <w:vAlign w:val="center"/>
          </w:tcPr>
          <w:p>
            <w:pPr>
              <w:pStyle w:val="TableContents"/>
              <w:bidi w:val="0"/>
              <w:spacing w:before="0" w:after="283"/>
              <w:jc w:val="left"/>
              <w:rPr>
                <w:caps w:val="false"/>
                <w:smallCaps w:val="false"/>
              </w:rPr>
            </w:pPr>
            <w:r>
              <w:rPr>
                <w:caps w:val="false"/>
                <w:smallCaps w:val="false"/>
              </w:rPr>
              <w:t> </w:t>
            </w:r>
          </w:p>
        </w:tc>
        <w:tc>
          <w:tcPr>
            <w:tcW w:w="63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83" w:type="dxa"/>
            <w:tcBorders/>
            <w:vAlign w:val="center"/>
          </w:tcPr>
          <w:p>
            <w:pPr>
              <w:pStyle w:val="TableContents"/>
              <w:bidi w:val="0"/>
              <w:spacing w:before="0" w:after="283"/>
              <w:jc w:val="left"/>
              <w:rPr>
                <w:caps w:val="false"/>
                <w:smallCaps w:val="false"/>
              </w:rPr>
            </w:pPr>
            <w:r>
              <w:rPr>
                <w:caps w:val="false"/>
                <w:smallCaps w:val="false"/>
              </w:rPr>
              <w:t> </w:t>
            </w:r>
          </w:p>
        </w:tc>
        <w:tc>
          <w:tcPr>
            <w:tcW w:w="63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2023</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2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Operating lease expense (included within operating costs and expenses) </w:t>
            </w:r>
            <w:r>
              <w:rPr>
                <w:rFonts w:ascii="Times New Roman;Times;Serif" w:hAnsi="Times New Roman;Times;Serif"/>
                <w:b w:val="false"/>
                <w:i w:val="false"/>
                <w:caps w:val="false"/>
                <w:smallCaps w:val="false"/>
                <w:position w:val="7"/>
                <w:sz w:val="16"/>
                <w:sz w:val="20"/>
              </w:rPr>
              <w:t>(a)</w:t>
            </w:r>
            <w:r>
              <w:rPr>
                <w:rFonts w:ascii="Times New Roman;Times;Serif" w:hAnsi="Times New Roman;Times;Serif"/>
                <w:b w:val="false"/>
                <w:i w:val="false"/>
                <w:caps w:val="false"/>
                <w:smallCaps w:val="false"/>
                <w:sz w:val="20"/>
              </w:rPr>
              <w:tab/>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6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6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6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2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464"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464"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46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62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Finance lease expense:</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464"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464"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46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62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Amortization of ROU assets (included within depreciation and amortization)</w:t>
              <w:tab/>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6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6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6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2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on lease liabilities (included within interest expense — net)</w:t>
              <w:tab/>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6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6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6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2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finance lease cost</w:t>
              <w:tab/>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6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97</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6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6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2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464"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464"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46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62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Variable lease expense (included within operating costs and expenses)</w:t>
              <w:tab/>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6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6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6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2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Sublease income (included within operating costs and expenses)</w:t>
              <w:tab/>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6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1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6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1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6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2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lease related expenses — net</w:t>
              <w:tab/>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3"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64"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188</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3"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64"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184</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3"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64"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183</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(a)</w:t>
      </w:r>
      <w:r>
        <w:rPr>
          <w:rFonts w:ascii="Times New Roman;Times;Serif" w:hAnsi="Times New Roman;Times;Serif"/>
          <w:b w:val="false"/>
          <w:i w:val="false"/>
          <w:caps w:val="false"/>
          <w:smallCaps w:val="false"/>
          <w:sz w:val="20"/>
        </w:rPr>
        <w:t> Includes short-term leases, which are immaterial for the years ended Decembe</w:t>
      </w:r>
      <w:r>
        <w:rPr>
          <w:rFonts w:ascii="Times New Roman;Times;Serif" w:hAnsi="Times New Roman;Times;Serif"/>
          <w:b w:val="false"/>
          <w:i w:val="false"/>
          <w:caps w:val="false"/>
          <w:smallCaps w:val="false"/>
          <w:sz w:val="20"/>
          <w:shd w:fill="FFFFFF" w:val="clear"/>
        </w:rPr>
        <w:t>r 31, 2025, 2024 and 2023</w:t>
      </w:r>
      <w:r>
        <w:rPr>
          <w:rFonts w:ascii="Times New Roman;Times;Serif" w:hAnsi="Times New Roman;Times;Serif"/>
          <w:b w:val="false"/>
          <w:i w:val="false"/>
          <w:caps w:val="false"/>
          <w:smallCaps w:val="false"/>
          <w:sz w:val="20"/>
        </w:rPr>
        <w:t>,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Supplemental information related to leases is as follows:</w:t>
      </w:r>
    </w:p>
    <w:p>
      <w:pPr>
        <w:pStyle w:val="TextBody"/>
        <w:bidi w:val="0"/>
        <w:spacing w:before="0" w:after="0"/>
        <w:ind w:left="0" w:right="0" w:hanging="0"/>
        <w:jc w:val="left"/>
        <w:rPr>
          <w:caps w:val="false"/>
          <w:smallCaps w:val="false"/>
        </w:rPr>
      </w:pPr>
      <w:r>
        <w:rPr>
          <w:caps w:val="false"/>
          <w:smallCaps w:val="false"/>
        </w:rPr>
        <w:t> </w:t>
      </w:r>
    </w:p>
    <w:tbl>
      <w:tblPr>
        <w:tblW w:w="5885" w:type="dxa"/>
        <w:jc w:val="left"/>
        <w:tblInd w:w="0" w:type="dxa"/>
        <w:tblLayout w:type="fixed"/>
        <w:tblCellMar>
          <w:top w:w="0" w:type="dxa"/>
          <w:left w:w="0" w:type="dxa"/>
          <w:bottom w:w="0" w:type="dxa"/>
          <w:right w:w="0" w:type="dxa"/>
        </w:tblCellMar>
      </w:tblPr>
      <w:tblGrid>
        <w:gridCol w:w="3740"/>
        <w:gridCol w:w="60"/>
        <w:gridCol w:w="125"/>
        <w:gridCol w:w="695"/>
        <w:gridCol w:w="185"/>
        <w:gridCol w:w="60"/>
        <w:gridCol w:w="125"/>
        <w:gridCol w:w="695"/>
        <w:gridCol w:w="200"/>
      </w:tblGrid>
      <w:tr>
        <w:trPr/>
        <w:tc>
          <w:tcPr>
            <w:tcW w:w="37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885"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w:t>
            </w:r>
          </w:p>
        </w:tc>
        <w:tc>
          <w:tcPr>
            <w:tcW w:w="2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7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2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7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lease right-of-use 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200" w:type="dxa"/>
            <w:tcBorders/>
            <w:shd w:fill="CCEEFF" w:val="clear"/>
            <w:vAlign w:val="center"/>
          </w:tcPr>
          <w:p>
            <w:pPr>
              <w:pStyle w:val="TableContents"/>
              <w:bidi w:val="0"/>
              <w:spacing w:before="0" w:after="283"/>
              <w:jc w:val="left"/>
              <w:rPr/>
            </w:pPr>
            <w:r>
              <w:rPr/>
              <w:t> </w:t>
            </w:r>
          </w:p>
        </w:tc>
      </w:tr>
      <w:tr>
        <w:trPr/>
        <w:tc>
          <w:tcPr>
            <w:tcW w:w="37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noncurrent assets</w:t>
              <w:tab/>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155</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199</w:t>
            </w:r>
          </w:p>
        </w:tc>
        <w:tc>
          <w:tcPr>
            <w:tcW w:w="2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7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lease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200" w:type="dxa"/>
            <w:tcBorders/>
            <w:shd w:fill="CCEEFF" w:val="clear"/>
            <w:vAlign w:val="center"/>
          </w:tcPr>
          <w:p>
            <w:pPr>
              <w:pStyle w:val="TableContents"/>
              <w:bidi w:val="0"/>
              <w:spacing w:before="0" w:after="283"/>
              <w:jc w:val="left"/>
              <w:rPr/>
            </w:pPr>
            <w:r>
              <w:rPr/>
              <w:t> </w:t>
            </w:r>
          </w:p>
        </w:tc>
      </w:tr>
      <w:tr>
        <w:trPr/>
        <w:tc>
          <w:tcPr>
            <w:tcW w:w="37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expenses and other current liabilities</w:t>
              <w:tab/>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w:t>
            </w:r>
          </w:p>
        </w:tc>
        <w:tc>
          <w:tcPr>
            <w:tcW w:w="2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7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noncurrent liabilities</w:t>
              <w:tab/>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137</w:t>
            </w:r>
          </w:p>
        </w:tc>
        <w:tc>
          <w:tcPr>
            <w:tcW w:w="2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7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operating lease liabilities</w:t>
              <w:tab/>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155</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199</w:t>
            </w:r>
          </w:p>
        </w:tc>
        <w:tc>
          <w:tcPr>
            <w:tcW w:w="2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7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200" w:type="dxa"/>
            <w:tcBorders/>
            <w:shd w:fill="CCEEFF" w:val="clear"/>
            <w:vAlign w:val="center"/>
          </w:tcPr>
          <w:p>
            <w:pPr>
              <w:pStyle w:val="TableContents"/>
              <w:bidi w:val="0"/>
              <w:spacing w:before="0" w:after="283"/>
              <w:jc w:val="left"/>
              <w:rPr/>
            </w:pPr>
            <w:r>
              <w:rPr/>
              <w:t> </w:t>
            </w:r>
          </w:p>
        </w:tc>
      </w:tr>
      <w:tr>
        <w:trPr/>
        <w:tc>
          <w:tcPr>
            <w:tcW w:w="37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Weighted Average Remaining Lease Term:</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200" w:type="dxa"/>
            <w:tcBorders/>
            <w:shd w:fill="FFFFFF" w:val="clear"/>
            <w:vAlign w:val="center"/>
          </w:tcPr>
          <w:p>
            <w:pPr>
              <w:pStyle w:val="TableContents"/>
              <w:bidi w:val="0"/>
              <w:spacing w:before="0" w:after="283"/>
              <w:jc w:val="left"/>
              <w:rPr/>
            </w:pPr>
            <w:r>
              <w:rPr/>
              <w:t> </w:t>
            </w:r>
          </w:p>
        </w:tc>
      </w:tr>
      <w:tr>
        <w:trPr/>
        <w:tc>
          <w:tcPr>
            <w:tcW w:w="37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leases</w:t>
              <w:tab/>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years</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years</w:t>
            </w:r>
          </w:p>
        </w:tc>
        <w:tc>
          <w:tcPr>
            <w:tcW w:w="2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7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Finance leases</w:t>
              <w:tab/>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 years</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 years</w:t>
            </w:r>
          </w:p>
        </w:tc>
        <w:tc>
          <w:tcPr>
            <w:tcW w:w="2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7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200" w:type="dxa"/>
            <w:tcBorders/>
            <w:shd w:fill="CCEEFF" w:val="clear"/>
            <w:vAlign w:val="center"/>
          </w:tcPr>
          <w:p>
            <w:pPr>
              <w:pStyle w:val="TableContents"/>
              <w:bidi w:val="0"/>
              <w:spacing w:before="0" w:after="283"/>
              <w:jc w:val="left"/>
              <w:rPr/>
            </w:pPr>
            <w:r>
              <w:rPr/>
              <w:t> </w:t>
            </w:r>
          </w:p>
        </w:tc>
      </w:tr>
      <w:tr>
        <w:trPr/>
        <w:tc>
          <w:tcPr>
            <w:tcW w:w="37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Weighted Average Discount Rate: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200" w:type="dxa"/>
            <w:tcBorders/>
            <w:shd w:fill="FFFFFF" w:val="clear"/>
            <w:vAlign w:val="center"/>
          </w:tcPr>
          <w:p>
            <w:pPr>
              <w:pStyle w:val="TableContents"/>
              <w:bidi w:val="0"/>
              <w:spacing w:before="0" w:after="283"/>
              <w:jc w:val="left"/>
              <w:rPr/>
            </w:pPr>
            <w:r>
              <w:rPr/>
              <w:t> </w:t>
            </w:r>
          </w:p>
        </w:tc>
      </w:tr>
      <w:tr>
        <w:trPr/>
        <w:tc>
          <w:tcPr>
            <w:tcW w:w="37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leases</w:t>
              <w:tab/>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2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7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Finance leases</w:t>
              <w:tab/>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2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reconciles the undiscounted cash flows for each of the first five years and total of the remaining years to the finance lease liabilities and operating lease liabilities recorded within the Consolidated Balance Sheet as of December 31, 2025.</w:t>
      </w:r>
    </w:p>
    <w:p>
      <w:pPr>
        <w:pStyle w:val="TextBody"/>
        <w:bidi w:val="0"/>
        <w:spacing w:before="0" w:after="0"/>
        <w:ind w:left="0" w:right="0" w:hanging="0"/>
        <w:jc w:val="left"/>
        <w:rPr>
          <w:caps w:val="false"/>
          <w:smallCaps w:val="false"/>
        </w:rPr>
      </w:pPr>
      <w:r>
        <w:rPr>
          <w:caps w:val="false"/>
          <w:smallCaps w:val="false"/>
        </w:rPr>
        <w:t> </w:t>
      </w:r>
    </w:p>
    <w:tbl>
      <w:tblPr>
        <w:tblW w:w="4905" w:type="dxa"/>
        <w:jc w:val="left"/>
        <w:tblInd w:w="0" w:type="dxa"/>
        <w:tblLayout w:type="fixed"/>
        <w:tblCellMar>
          <w:top w:w="0" w:type="dxa"/>
          <w:left w:w="0" w:type="dxa"/>
          <w:bottom w:w="28" w:type="dxa"/>
          <w:right w:w="0" w:type="dxa"/>
        </w:tblCellMar>
      </w:tblPr>
      <w:tblGrid>
        <w:gridCol w:w="3065"/>
        <w:gridCol w:w="60"/>
        <w:gridCol w:w="241"/>
        <w:gridCol w:w="649"/>
        <w:gridCol w:w="60"/>
        <w:gridCol w:w="60"/>
        <w:gridCol w:w="142"/>
        <w:gridCol w:w="553"/>
        <w:gridCol w:w="75"/>
      </w:tblGrid>
      <w:tr>
        <w:trPr/>
        <w:tc>
          <w:tcPr>
            <w:tcW w:w="3065"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millions)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9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Operating</w:t>
              <w:br/>
              <w:t>Leases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Finance</w:t>
              <w:br/>
              <w:t>Leases</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06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2026</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41"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49"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53"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06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2027</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41"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49"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53"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06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2028</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41"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49"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53"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06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2029</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41"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49"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53"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06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2030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41"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49"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53"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06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Thereafter</w:t>
              <w:tab/>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41"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9"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2"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53"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819</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06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lease payments</w:t>
              <w:tab/>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41"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49"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174</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53"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1,222</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06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Less amounts representing interest </w:t>
            </w:r>
            <w:r>
              <w:rPr>
                <w:rFonts w:ascii="Times New Roman;Times;Serif" w:hAnsi="Times New Roman;Times;Serif"/>
                <w:b w:val="false"/>
                <w:i w:val="false"/>
                <w:caps w:val="false"/>
                <w:smallCaps w:val="false"/>
                <w:position w:val="7"/>
                <w:sz w:val="16"/>
                <w:sz w:val="20"/>
              </w:rPr>
              <w:t>(a)</w:t>
            </w:r>
            <w:r>
              <w:rPr>
                <w:rFonts w:ascii="Times New Roman;Times;Serif" w:hAnsi="Times New Roman;Times;Serif"/>
                <w:b w:val="false"/>
                <w:i w:val="false"/>
                <w:caps w:val="false"/>
                <w:smallCaps w:val="false"/>
                <w:sz w:val="20"/>
              </w:rPr>
              <w:tab/>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41"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9"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2"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53"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485</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06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Present value of lease payments</w:t>
              <w:tab/>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41" w:type="dxa"/>
            <w:tcBorders>
              <w:bottom w:val="double" w:sz="6" w:space="0" w:color="000000"/>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49"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155</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2" w:type="dxa"/>
            <w:tcBorders>
              <w:bottom w:val="double" w:sz="6" w:space="0" w:color="000000"/>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53"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737</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(a)</w:t>
      </w:r>
      <w:r>
        <w:rPr>
          <w:rFonts w:ascii="Times New Roman;Times;Serif" w:hAnsi="Times New Roman;Times;Serif"/>
          <w:b w:val="false"/>
          <w:i w:val="false"/>
          <w:caps w:val="false"/>
          <w:smallCaps w:val="false"/>
          <w:sz w:val="20"/>
        </w:rPr>
        <w:t> Represents amount necessary to reduce lease payments to present value calculated at Cox’s incremental borrowing rate at inception.</w:t>
      </w:r>
    </w:p>
    <w:p>
      <w:pPr>
        <w:pStyle w:val="TextBody"/>
        <w:bidi w:val="0"/>
        <w:spacing w:before="0" w:after="0"/>
        <w:ind w:left="0" w:right="0" w:hanging="0"/>
        <w:jc w:val="left"/>
        <w:rPr>
          <w:caps w:val="false"/>
          <w:smallCaps w:val="false"/>
        </w:rPr>
      </w:pPr>
      <w:r>
        <w:rPr>
          <w:caps w:val="false"/>
          <w:smallCaps w:val="false"/>
        </w:rPr>
        <w:t>  </w:t>
      </w:r>
    </w:p>
    <w:tbl>
      <w:tblPr>
        <w:tblW w:w="918" w:type="dxa"/>
        <w:jc w:val="left"/>
        <w:tblInd w:w="0" w:type="dxa"/>
        <w:tblLayout w:type="fixed"/>
        <w:tblCellMar>
          <w:top w:w="0" w:type="dxa"/>
          <w:left w:w="0" w:type="dxa"/>
          <w:bottom w:w="0" w:type="dxa"/>
          <w:right w:w="0" w:type="dxa"/>
        </w:tblCellMar>
      </w:tblPr>
      <w:tblGrid>
        <w:gridCol w:w="38"/>
        <w:gridCol w:w="170"/>
        <w:gridCol w:w="7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b/>
                <w:sz w:val="20"/>
              </w:rPr>
            </w:pPr>
            <w:r>
              <w:rPr>
                <w:b/>
                <w:sz w:val="20"/>
              </w:rPr>
              <w:t>8.</w:t>
            </w:r>
          </w:p>
        </w:tc>
        <w:tc>
          <w:tcPr>
            <w:tcW w:w="710" w:type="dxa"/>
            <w:tcBorders/>
            <w:vAlign w:val="center"/>
          </w:tcPr>
          <w:p>
            <w:pPr>
              <w:pStyle w:val="TableContents"/>
              <w:bidi w:val="0"/>
              <w:spacing w:before="0" w:after="283"/>
              <w:jc w:val="both"/>
              <w:rPr>
                <w:b/>
              </w:rPr>
            </w:pPr>
            <w:r>
              <w:rPr>
                <w:b/>
              </w:rPr>
              <w:t>DEBT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691"/>
        <w:gridCol w:w="60"/>
        <w:gridCol w:w="1323"/>
        <w:gridCol w:w="60"/>
        <w:gridCol w:w="148"/>
        <w:gridCol w:w="709"/>
        <w:gridCol w:w="82"/>
        <w:gridCol w:w="61"/>
        <w:gridCol w:w="161"/>
        <w:gridCol w:w="771"/>
        <w:gridCol w:w="60"/>
        <w:gridCol w:w="60"/>
        <w:gridCol w:w="148"/>
        <w:gridCol w:w="709"/>
        <w:gridCol w:w="82"/>
        <w:gridCol w:w="61"/>
        <w:gridCol w:w="161"/>
        <w:gridCol w:w="771"/>
        <w:gridCol w:w="87"/>
      </w:tblGrid>
      <w:tr>
        <w:trPr/>
        <w:tc>
          <w:tcPr>
            <w:tcW w:w="469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932"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932"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2024</w:t>
            </w:r>
          </w:p>
        </w:tc>
        <w:tc>
          <w:tcPr>
            <w:tcW w:w="87"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691"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millions)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23"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Annual Interest</w:t>
              <w:br/>
              <w:t>Rate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5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Carrying </w:t>
              <w:br/>
              <w:t>Value</w:t>
            </w:r>
          </w:p>
        </w:tc>
        <w:tc>
          <w:tcPr>
            <w:tcW w:w="82" w:type="dxa"/>
            <w:tcBorders/>
            <w:vAlign w:val="center"/>
          </w:tcPr>
          <w:p>
            <w:pPr>
              <w:pStyle w:val="TableContents"/>
              <w:bidi w:val="0"/>
              <w:spacing w:before="0" w:after="283"/>
              <w:jc w:val="left"/>
              <w:rPr>
                <w:caps w:val="false"/>
                <w:smallCaps w:val="false"/>
              </w:rPr>
            </w:pPr>
            <w:r>
              <w:rPr>
                <w:caps w:val="false"/>
                <w:smallCaps w:val="false"/>
              </w:rPr>
              <w:t> </w:t>
            </w:r>
          </w:p>
        </w:tc>
        <w:tc>
          <w:tcPr>
            <w:tcW w:w="61" w:type="dxa"/>
            <w:tcBorders/>
            <w:vAlign w:val="center"/>
          </w:tcPr>
          <w:p>
            <w:pPr>
              <w:pStyle w:val="TableContents"/>
              <w:bidi w:val="0"/>
              <w:spacing w:before="0" w:after="283"/>
              <w:jc w:val="left"/>
              <w:rPr>
                <w:caps w:val="false"/>
                <w:smallCaps w:val="false"/>
              </w:rPr>
            </w:pPr>
            <w:r>
              <w:rPr>
                <w:caps w:val="false"/>
                <w:smallCaps w:val="false"/>
              </w:rPr>
              <w:t> </w:t>
            </w:r>
          </w:p>
        </w:tc>
        <w:tc>
          <w:tcPr>
            <w:tcW w:w="932"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Fair Value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5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Carrying </w:t>
              <w:br/>
              <w:t>Value</w:t>
            </w:r>
          </w:p>
        </w:tc>
        <w:tc>
          <w:tcPr>
            <w:tcW w:w="82" w:type="dxa"/>
            <w:tcBorders/>
            <w:vAlign w:val="center"/>
          </w:tcPr>
          <w:p>
            <w:pPr>
              <w:pStyle w:val="TableContents"/>
              <w:bidi w:val="0"/>
              <w:spacing w:before="0" w:after="283"/>
              <w:jc w:val="left"/>
              <w:rPr>
                <w:caps w:val="false"/>
                <w:smallCaps w:val="false"/>
              </w:rPr>
            </w:pPr>
            <w:r>
              <w:rPr>
                <w:caps w:val="false"/>
                <w:smallCaps w:val="false"/>
              </w:rPr>
              <w:t> </w:t>
            </w:r>
          </w:p>
        </w:tc>
        <w:tc>
          <w:tcPr>
            <w:tcW w:w="61" w:type="dxa"/>
            <w:tcBorders/>
            <w:vAlign w:val="center"/>
          </w:tcPr>
          <w:p>
            <w:pPr>
              <w:pStyle w:val="TableContents"/>
              <w:bidi w:val="0"/>
              <w:spacing w:before="0" w:after="283"/>
              <w:jc w:val="left"/>
              <w:rPr>
                <w:caps w:val="false"/>
                <w:smallCaps w:val="false"/>
              </w:rPr>
            </w:pPr>
            <w:r>
              <w:rPr>
                <w:caps w:val="false"/>
                <w:smallCaps w:val="false"/>
              </w:rPr>
              <w:t> </w:t>
            </w:r>
          </w:p>
        </w:tc>
        <w:tc>
          <w:tcPr>
            <w:tcW w:w="932"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Fair Value</w:t>
            </w:r>
          </w:p>
        </w:tc>
        <w:tc>
          <w:tcPr>
            <w:tcW w:w="87"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69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Notes and debentures with maturities </w:t>
            </w:r>
            <w:r>
              <w:rPr>
                <w:rFonts w:ascii="Times New Roman;Times;Serif" w:hAnsi="Times New Roman;Times;Serif"/>
                <w:b w:val="false"/>
                <w:i w:val="false"/>
                <w:caps w:val="false"/>
                <w:smallCaps w:val="false"/>
                <w:position w:val="7"/>
                <w:sz w:val="16"/>
                <w:sz w:val="20"/>
              </w:rPr>
              <w:t>(a)</w:t>
            </w: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pPr>
            <w:r>
              <w:rPr/>
              <w:t> </w:t>
            </w:r>
          </w:p>
        </w:tc>
        <w:tc>
          <w:tcPr>
            <w:tcW w:w="132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709" w:type="dxa"/>
            <w:tcBorders/>
            <w:shd w:fill="CCEEFF" w:val="clear"/>
            <w:vAlign w:val="center"/>
          </w:tcPr>
          <w:p>
            <w:pPr>
              <w:pStyle w:val="TableContents"/>
              <w:bidi w:val="0"/>
              <w:spacing w:before="0" w:after="283"/>
              <w:jc w:val="right"/>
              <w:rPr/>
            </w:pPr>
            <w:r>
              <w:rPr/>
              <w:t> </w:t>
            </w:r>
          </w:p>
        </w:tc>
        <w:tc>
          <w:tcPr>
            <w:tcW w:w="82"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77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709" w:type="dxa"/>
            <w:tcBorders/>
            <w:shd w:fill="CCEEFF" w:val="clear"/>
            <w:vAlign w:val="center"/>
          </w:tcPr>
          <w:p>
            <w:pPr>
              <w:pStyle w:val="TableContents"/>
              <w:bidi w:val="0"/>
              <w:spacing w:before="0" w:after="283"/>
              <w:jc w:val="right"/>
              <w:rPr/>
            </w:pPr>
            <w:r>
              <w:rPr/>
              <w:t> </w:t>
            </w:r>
          </w:p>
        </w:tc>
        <w:tc>
          <w:tcPr>
            <w:tcW w:w="82"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771" w:type="dxa"/>
            <w:tcBorders/>
            <w:shd w:fill="CCEEFF" w:val="clear"/>
            <w:vAlign w:val="center"/>
          </w:tcPr>
          <w:p>
            <w:pPr>
              <w:pStyle w:val="TableContents"/>
              <w:bidi w:val="0"/>
              <w:spacing w:before="0" w:after="283"/>
              <w:jc w:val="right"/>
              <w:rPr/>
            </w:pPr>
            <w:r>
              <w:rPr/>
              <w:t> </w:t>
            </w:r>
          </w:p>
        </w:tc>
        <w:tc>
          <w:tcPr>
            <w:tcW w:w="87" w:type="dxa"/>
            <w:tcBorders/>
            <w:shd w:fill="CCEEFF" w:val="clear"/>
            <w:vAlign w:val="center"/>
          </w:tcPr>
          <w:p>
            <w:pPr>
              <w:pStyle w:val="TableContents"/>
              <w:bidi w:val="0"/>
              <w:spacing w:before="0" w:after="283"/>
              <w:jc w:val="left"/>
              <w:rPr/>
            </w:pPr>
            <w:r>
              <w:rPr/>
              <w:t> </w:t>
            </w:r>
          </w:p>
        </w:tc>
      </w:tr>
      <w:tr>
        <w:trPr/>
        <w:tc>
          <w:tcPr>
            <w:tcW w:w="469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Five years or less</w:t>
              <w:tab/>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23"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1.80% to 6.95%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0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3,889</w:t>
            </w:r>
          </w:p>
        </w:tc>
        <w:tc>
          <w:tcPr>
            <w:tcW w:w="8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7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3,160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0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3,989</w:t>
            </w:r>
          </w:p>
        </w:tc>
        <w:tc>
          <w:tcPr>
            <w:tcW w:w="8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7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3,959</w:t>
            </w:r>
          </w:p>
        </w:tc>
        <w:tc>
          <w:tcPr>
            <w:tcW w:w="8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69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Between five and 10 years</w:t>
              <w:tab/>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23"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2.60% to 5.70%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3,000</w:t>
            </w:r>
          </w:p>
        </w:tc>
        <w:tc>
          <w:tcPr>
            <w:tcW w:w="8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3,514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3,100</w:t>
            </w:r>
          </w:p>
        </w:tc>
        <w:tc>
          <w:tcPr>
            <w:tcW w:w="8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2,819</w:t>
            </w:r>
          </w:p>
        </w:tc>
        <w:tc>
          <w:tcPr>
            <w:tcW w:w="8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69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Greater than 10 years</w:t>
              <w:tab/>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23"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2.95% to 8.38%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0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4,960</w:t>
            </w:r>
          </w:p>
        </w:tc>
        <w:tc>
          <w:tcPr>
            <w:tcW w:w="8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7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3,957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0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5,610</w:t>
            </w:r>
          </w:p>
        </w:tc>
        <w:tc>
          <w:tcPr>
            <w:tcW w:w="8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7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4,717</w:t>
            </w:r>
          </w:p>
        </w:tc>
        <w:tc>
          <w:tcPr>
            <w:tcW w:w="8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69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notes and debentures</w:t>
              <w:tab/>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2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8"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09"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11,849</w:t>
            </w:r>
          </w:p>
        </w:tc>
        <w:tc>
          <w:tcPr>
            <w:tcW w:w="8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1"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71"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10,631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8"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09"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12,699</w:t>
            </w:r>
          </w:p>
        </w:tc>
        <w:tc>
          <w:tcPr>
            <w:tcW w:w="8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1"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71"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11,495</w:t>
            </w:r>
          </w:p>
        </w:tc>
        <w:tc>
          <w:tcPr>
            <w:tcW w:w="8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69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Finance lease obligations </w:t>
            </w:r>
            <w:r>
              <w:rPr>
                <w:rFonts w:ascii="Times New Roman;Times;Serif" w:hAnsi="Times New Roman;Times;Serif"/>
                <w:b w:val="false"/>
                <w:i w:val="false"/>
                <w:caps w:val="false"/>
                <w:smallCaps w:val="false"/>
                <w:position w:val="7"/>
                <w:sz w:val="16"/>
                <w:sz w:val="20"/>
              </w:rPr>
              <w:t>(b)(c)</w:t>
            </w:r>
            <w:r>
              <w:rPr>
                <w:rFonts w:ascii="Times New Roman;Times;Serif" w:hAnsi="Times New Roman;Times;Serif"/>
                <w:b w:val="false"/>
                <w:i w:val="false"/>
                <w:caps w:val="false"/>
                <w:smallCaps w:val="false"/>
                <w:sz w:val="20"/>
              </w:rPr>
              <w:tab/>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23"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0.37% to 8.24%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737</w:t>
            </w:r>
          </w:p>
        </w:tc>
        <w:tc>
          <w:tcPr>
            <w:tcW w:w="8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771"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584</w:t>
            </w:r>
          </w:p>
        </w:tc>
        <w:tc>
          <w:tcPr>
            <w:tcW w:w="8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771" w:type="dxa"/>
            <w:tcBorders/>
            <w:shd w:fill="FFFFFF" w:val="clear"/>
            <w:vAlign w:val="center"/>
          </w:tcPr>
          <w:p>
            <w:pPr>
              <w:pStyle w:val="TableContents"/>
              <w:bidi w:val="0"/>
              <w:spacing w:before="0" w:after="283"/>
              <w:jc w:val="right"/>
              <w:rPr/>
            </w:pPr>
            <w:r>
              <w:rPr/>
              <w:t> </w:t>
            </w:r>
          </w:p>
        </w:tc>
        <w:tc>
          <w:tcPr>
            <w:tcW w:w="87" w:type="dxa"/>
            <w:tcBorders/>
            <w:shd w:fill="FFFFFF" w:val="clear"/>
            <w:vAlign w:val="center"/>
          </w:tcPr>
          <w:p>
            <w:pPr>
              <w:pStyle w:val="TableContents"/>
              <w:bidi w:val="0"/>
              <w:spacing w:before="0" w:after="283"/>
              <w:jc w:val="left"/>
              <w:rPr/>
            </w:pPr>
            <w:r>
              <w:rPr/>
              <w:t> </w:t>
            </w:r>
          </w:p>
        </w:tc>
      </w:tr>
      <w:tr>
        <w:trPr/>
        <w:tc>
          <w:tcPr>
            <w:tcW w:w="469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Less unamortized discounts, premiums and issuance costs</w:t>
              <w:tab/>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2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0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w:t>
            </w:r>
          </w:p>
        </w:tc>
        <w:tc>
          <w:tcPr>
            <w:tcW w:w="8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1"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77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0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w:t>
            </w:r>
          </w:p>
        </w:tc>
        <w:tc>
          <w:tcPr>
            <w:tcW w:w="8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1"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771" w:type="dxa"/>
            <w:tcBorders/>
            <w:shd w:fill="CCEEFF" w:val="clear"/>
            <w:vAlign w:val="center"/>
          </w:tcPr>
          <w:p>
            <w:pPr>
              <w:pStyle w:val="TableContents"/>
              <w:bidi w:val="0"/>
              <w:spacing w:before="0" w:after="283"/>
              <w:jc w:val="right"/>
              <w:rPr/>
            </w:pPr>
            <w:r>
              <w:rPr/>
              <w:t> </w:t>
            </w:r>
          </w:p>
        </w:tc>
        <w:tc>
          <w:tcPr>
            <w:tcW w:w="87" w:type="dxa"/>
            <w:tcBorders/>
            <w:shd w:fill="CCEEFF" w:val="clear"/>
            <w:vAlign w:val="center"/>
          </w:tcPr>
          <w:p>
            <w:pPr>
              <w:pStyle w:val="TableContents"/>
              <w:bidi w:val="0"/>
              <w:spacing w:before="0" w:after="283"/>
              <w:jc w:val="left"/>
              <w:rPr/>
            </w:pPr>
            <w:r>
              <w:rPr/>
              <w:t> </w:t>
            </w:r>
          </w:p>
        </w:tc>
      </w:tr>
      <w:tr>
        <w:trPr/>
        <w:tc>
          <w:tcPr>
            <w:tcW w:w="469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debt</w:t>
              <w:tab/>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2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12,512</w:t>
            </w:r>
          </w:p>
        </w:tc>
        <w:tc>
          <w:tcPr>
            <w:tcW w:w="8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771"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13,200</w:t>
            </w:r>
          </w:p>
        </w:tc>
        <w:tc>
          <w:tcPr>
            <w:tcW w:w="8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771" w:type="dxa"/>
            <w:tcBorders/>
            <w:shd w:fill="FFFFFF" w:val="clear"/>
            <w:vAlign w:val="center"/>
          </w:tcPr>
          <w:p>
            <w:pPr>
              <w:pStyle w:val="TableContents"/>
              <w:bidi w:val="0"/>
              <w:spacing w:before="0" w:after="283"/>
              <w:jc w:val="right"/>
              <w:rPr/>
            </w:pPr>
            <w:r>
              <w:rPr/>
              <w:t> </w:t>
            </w:r>
          </w:p>
        </w:tc>
        <w:tc>
          <w:tcPr>
            <w:tcW w:w="87" w:type="dxa"/>
            <w:tcBorders/>
            <w:shd w:fill="FFFFFF" w:val="clear"/>
            <w:vAlign w:val="center"/>
          </w:tcPr>
          <w:p>
            <w:pPr>
              <w:pStyle w:val="TableContents"/>
              <w:bidi w:val="0"/>
              <w:spacing w:before="0" w:after="283"/>
              <w:jc w:val="left"/>
              <w:rPr/>
            </w:pPr>
            <w:r>
              <w:rPr/>
              <w:t> </w:t>
            </w:r>
          </w:p>
        </w:tc>
      </w:tr>
      <w:tr>
        <w:trPr/>
        <w:tc>
          <w:tcPr>
            <w:tcW w:w="469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Less current maturities </w:t>
            </w:r>
            <w:r>
              <w:rPr>
                <w:rFonts w:ascii="Times New Roman;Times;Serif" w:hAnsi="Times New Roman;Times;Serif"/>
                <w:b w:val="false"/>
                <w:i w:val="false"/>
                <w:caps w:val="false"/>
                <w:smallCaps w:val="false"/>
                <w:position w:val="7"/>
                <w:sz w:val="16"/>
                <w:sz w:val="20"/>
              </w:rPr>
              <w:t>(b)</w:t>
            </w:r>
            <w:r>
              <w:rPr>
                <w:rFonts w:ascii="Times New Roman;Times;Serif" w:hAnsi="Times New Roman;Times;Serif"/>
                <w:b w:val="false"/>
                <w:i w:val="false"/>
                <w:caps w:val="false"/>
                <w:smallCaps w:val="false"/>
                <w:sz w:val="20"/>
              </w:rPr>
              <w:tab/>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2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0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1,038</w:t>
            </w:r>
          </w:p>
        </w:tc>
        <w:tc>
          <w:tcPr>
            <w:tcW w:w="8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77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0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877</w:t>
            </w:r>
          </w:p>
        </w:tc>
        <w:tc>
          <w:tcPr>
            <w:tcW w:w="8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771" w:type="dxa"/>
            <w:tcBorders/>
            <w:shd w:fill="CCEEFF" w:val="clear"/>
            <w:vAlign w:val="center"/>
          </w:tcPr>
          <w:p>
            <w:pPr>
              <w:pStyle w:val="TableContents"/>
              <w:bidi w:val="0"/>
              <w:spacing w:before="0" w:after="283"/>
              <w:jc w:val="right"/>
              <w:rPr/>
            </w:pPr>
            <w:r>
              <w:rPr/>
              <w:t> </w:t>
            </w:r>
          </w:p>
        </w:tc>
        <w:tc>
          <w:tcPr>
            <w:tcW w:w="87" w:type="dxa"/>
            <w:tcBorders/>
            <w:shd w:fill="CCEEFF" w:val="clear"/>
            <w:vAlign w:val="center"/>
          </w:tcPr>
          <w:p>
            <w:pPr>
              <w:pStyle w:val="TableContents"/>
              <w:bidi w:val="0"/>
              <w:spacing w:before="0" w:after="283"/>
              <w:jc w:val="left"/>
              <w:rPr/>
            </w:pPr>
            <w:r>
              <w:rPr/>
              <w:t> </w:t>
            </w:r>
          </w:p>
        </w:tc>
      </w:tr>
      <w:tr>
        <w:trPr/>
        <w:tc>
          <w:tcPr>
            <w:tcW w:w="469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long-term debt</w:t>
              <w:tab/>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2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8"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0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11,474</w:t>
            </w:r>
          </w:p>
        </w:tc>
        <w:tc>
          <w:tcPr>
            <w:tcW w:w="8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771"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8"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0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12,323</w:t>
            </w:r>
          </w:p>
        </w:tc>
        <w:tc>
          <w:tcPr>
            <w:tcW w:w="8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771" w:type="dxa"/>
            <w:tcBorders/>
            <w:shd w:fill="FFFFFF" w:val="clear"/>
            <w:vAlign w:val="center"/>
          </w:tcPr>
          <w:p>
            <w:pPr>
              <w:pStyle w:val="TableContents"/>
              <w:bidi w:val="0"/>
              <w:spacing w:before="0" w:after="283"/>
              <w:jc w:val="right"/>
              <w:rPr/>
            </w:pPr>
            <w:r>
              <w:rPr/>
              <w:t> </w:t>
            </w:r>
          </w:p>
        </w:tc>
        <w:tc>
          <w:tcPr>
            <w:tcW w:w="87"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7263" w:type="dxa"/>
        <w:jc w:val="left"/>
        <w:tblInd w:w="0" w:type="dxa"/>
        <w:tblLayout w:type="fixed"/>
        <w:tblCellMar>
          <w:top w:w="0" w:type="dxa"/>
          <w:left w:w="0" w:type="dxa"/>
          <w:bottom w:w="0" w:type="dxa"/>
          <w:right w:w="0" w:type="dxa"/>
        </w:tblCellMar>
      </w:tblPr>
      <w:tblGrid>
        <w:gridCol w:w="38"/>
        <w:gridCol w:w="230"/>
        <w:gridCol w:w="699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osition w:val="8"/>
                <w:sz w:val="19"/>
              </w:rPr>
            </w:pPr>
            <w:r>
              <w:rPr>
                <w:position w:val="8"/>
                <w:sz w:val="19"/>
              </w:rPr>
              <w:t>(a)</w:t>
            </w:r>
          </w:p>
        </w:tc>
        <w:tc>
          <w:tcPr>
            <w:tcW w:w="6995" w:type="dxa"/>
            <w:tcBorders/>
            <w:vAlign w:val="center"/>
          </w:tcPr>
          <w:p>
            <w:pPr>
              <w:pStyle w:val="TableContents"/>
              <w:bidi w:val="0"/>
              <w:spacing w:before="0" w:after="283"/>
              <w:jc w:val="both"/>
              <w:rPr/>
            </w:pPr>
            <w:r>
              <w:rPr/>
              <w:t>Require semi-annual cash interest payments based on their issuance dates.</w:t>
            </w:r>
          </w:p>
        </w:tc>
      </w:tr>
    </w:tbl>
    <w:tbl>
      <w:tblPr>
        <w:tblW w:w="10205" w:type="dxa"/>
        <w:jc w:val="left"/>
        <w:tblInd w:w="0" w:type="dxa"/>
        <w:tblLayout w:type="fixed"/>
        <w:tblCellMar>
          <w:top w:w="0" w:type="dxa"/>
          <w:left w:w="0" w:type="dxa"/>
          <w:bottom w:w="0" w:type="dxa"/>
          <w:right w:w="0" w:type="dxa"/>
        </w:tblCellMar>
      </w:tblPr>
      <w:tblGrid>
        <w:gridCol w:w="38"/>
        <w:gridCol w:w="232"/>
        <w:gridCol w:w="9935"/>
      </w:tblGrid>
      <w:tr>
        <w:trPr/>
        <w:tc>
          <w:tcPr>
            <w:tcW w:w="38"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position w:val="8"/>
                <w:sz w:val="19"/>
              </w:rPr>
            </w:pPr>
            <w:r>
              <w:rPr>
                <w:position w:val="8"/>
                <w:sz w:val="19"/>
              </w:rPr>
              <w:t>(b)</w:t>
            </w:r>
          </w:p>
        </w:tc>
        <w:tc>
          <w:tcPr>
            <w:tcW w:w="9935" w:type="dxa"/>
            <w:tcBorders/>
            <w:vAlign w:val="center"/>
          </w:tcPr>
          <w:p>
            <w:pPr>
              <w:pStyle w:val="TableContents"/>
              <w:bidi w:val="0"/>
              <w:spacing w:before="0" w:after="283"/>
              <w:jc w:val="both"/>
              <w:rPr/>
            </w:pPr>
            <w:r>
              <w:rPr/>
              <w:t>Current portion of finance lease obligations totaled $38 million and $27 million as of December 31, 2025 and 2024, respectively.</w:t>
            </w:r>
          </w:p>
        </w:tc>
      </w:tr>
    </w:tbl>
    <w:tbl>
      <w:tblPr>
        <w:tblW w:w="10205" w:type="dxa"/>
        <w:jc w:val="left"/>
        <w:tblInd w:w="0" w:type="dxa"/>
        <w:tblLayout w:type="fixed"/>
        <w:tblCellMar>
          <w:top w:w="0" w:type="dxa"/>
          <w:left w:w="0" w:type="dxa"/>
          <w:bottom w:w="0" w:type="dxa"/>
          <w:right w:w="0" w:type="dxa"/>
        </w:tblCellMar>
      </w:tblPr>
      <w:tblGrid>
        <w:gridCol w:w="38"/>
        <w:gridCol w:w="211"/>
        <w:gridCol w:w="9956"/>
      </w:tblGrid>
      <w:tr>
        <w:trPr/>
        <w:tc>
          <w:tcPr>
            <w:tcW w:w="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position w:val="8"/>
                <w:sz w:val="19"/>
              </w:rPr>
            </w:pPr>
            <w:r>
              <w:rPr>
                <w:position w:val="8"/>
                <w:sz w:val="19"/>
              </w:rPr>
              <w:t>(c)</w:t>
            </w:r>
          </w:p>
        </w:tc>
        <w:tc>
          <w:tcPr>
            <w:tcW w:w="9956" w:type="dxa"/>
            <w:tcBorders/>
            <w:vAlign w:val="center"/>
          </w:tcPr>
          <w:p>
            <w:pPr>
              <w:pStyle w:val="TableContents"/>
              <w:bidi w:val="0"/>
              <w:spacing w:before="0" w:after="283"/>
              <w:jc w:val="both"/>
              <w:rPr/>
            </w:pPr>
            <w:r>
              <w:rPr/>
              <w:t>Cox leases certain office facilities, cable transmission and distribution facilities, customer premise equipment and automobiles under finance leases.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scheduled maturities of Cox's debt, excluding finance lease obligations, for the years succeeding December 31, 2025:</w:t>
      </w:r>
    </w:p>
    <w:p>
      <w:pPr>
        <w:pStyle w:val="TextBody"/>
        <w:bidi w:val="0"/>
        <w:spacing w:before="0" w:after="0"/>
        <w:ind w:left="0" w:right="0" w:hanging="0"/>
        <w:jc w:val="left"/>
        <w:rPr>
          <w:caps w:val="false"/>
          <w:smallCaps w:val="false"/>
        </w:rPr>
      </w:pPr>
      <w:r>
        <w:rPr>
          <w:caps w:val="false"/>
          <w:smallCaps w:val="false"/>
        </w:rPr>
        <w:t> </w:t>
      </w:r>
    </w:p>
    <w:tbl>
      <w:tblPr>
        <w:tblW w:w="2514" w:type="dxa"/>
        <w:jc w:val="left"/>
        <w:tblInd w:w="0" w:type="dxa"/>
        <w:tblLayout w:type="fixed"/>
        <w:tblCellMar>
          <w:top w:w="0" w:type="dxa"/>
          <w:left w:w="0" w:type="dxa"/>
          <w:bottom w:w="28" w:type="dxa"/>
          <w:right w:w="0" w:type="dxa"/>
        </w:tblCellMar>
      </w:tblPr>
      <w:tblGrid>
        <w:gridCol w:w="1040"/>
        <w:gridCol w:w="60"/>
        <w:gridCol w:w="233"/>
        <w:gridCol w:w="1106"/>
        <w:gridCol w:w="75"/>
      </w:tblGrid>
      <w:tr>
        <w:trPr/>
        <w:tc>
          <w:tcPr>
            <w:tcW w:w="1040"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millions)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39"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Debt Maturities</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04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2026</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33"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06"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04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2027</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33"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06"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04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2028</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33"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06"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1,139</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04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2029</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33"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06"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04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2030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33"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06"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750</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04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Thereafter</w:t>
              <w:tab/>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33"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6"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7,960</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04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w:t>
              <w:tab/>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33" w:type="dxa"/>
            <w:tcBorders>
              <w:bottom w:val="double" w:sz="6" w:space="0" w:color="000000"/>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06"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11,849</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Revolving credit facility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is a party to an amended and restated credit facility among Cox and CEI, as borrowers, and JP Morgan Chase Bank, N.A., as administrative agent, and certain other lenders and agents (the "Credit Facility"). The Credit Facility provides Cox and CEI with a revolving credit facility in an aggregate amount of $3.5 billion, plus uncommitted incremental facilities of up to $700 million, provided that the aggregate amount outstanding under the Credit Facility can never exceed $3.5 billion. Any amount payable under the Credit Facility that is not directly attributable solely to extensions of credit to Cox or CEI will be allocated equally between Cox and CEI. The Credit Facility provides that the commitments of the lenders under the Credit Facility will expire in October 2029; however, the borrowers have the right, which may be exercised no more than two times, to extend the commitments of any lenders willing to agree to such extension for a period of one additional year so long as a majority of the lenders agree to such extension.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Conventional borrowings under the Credit Facility bear interest at a rate selected by the relevant borrower (Cox or CEI) from three alternatives. The interest rate may be based on the 1) the Secured Overnight Financing Rate ("SOFR"), 2) the Federal Reserve Bank of New York rate, or 3) an alternate base rate. The alternate base rate loans will be based on the highest of the prime rate, the federal funds rate plus 0.50% or the one-month Adjusted Term SOFR Rate (SOFR plus 0.10%) for dollar denominated Loans plus 1.00%. In each case, the applicable interest rate will be increased by a margin imposed by the Credit Facility, which will depend upon the ratings of the relevant borrower's senior, unsecured, long-term indebtedness for borrowed money that is not guaranteed by any other individual or entity or subject to any other credit enhancement.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Credit Facility also establishes a mechanism under which individual lenders may make discretionary loans in lieu of loans committed under the Credit Facility at rates agreed upon from time to time with the relevant borrower. Each borrower also must pay a commitment fee to each lender on the daily average unused amount of the commitment of such lender at a rate that varies from 0.075% to 0.225% depending on the ratings of the relevant borrower's senior, unsecured, long-term indebtedness for borrowed money that is not guaranteed by any other individual or entity or subject to any other credit enhancement. The commitment fee rate was 0.125% as of December 31, 2025 and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Credit Facility requires each borrower to maintain a ratio of consolidated debt to pro forma consolidated operating cash flow (as defined in the Credit Facility, which is not comparable to operating cash flow presented elsewhere in this document), or the leverage ratio, of not more than 5.0 to 1.0. The leverage ratio may be increased to 5.5 to 1.0 as of the last day of the fiscal quarter during which a qualifying acquisition (as defined in the Credit Facility) shall have been consummated and each of the following three consecutive fiscal quarters.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Credit Facility also contains a $500 million letter of credit subfacility for CEI and Cox. Additionally, the Credit Facility contains a $300 million subfacility for loans or letters of credit in certain designated alternate currencies. Outstanding letters of credit reduce availability under the Credit Facility.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Cox and CEI's availability under the Credit Facility was reduced as a result of $52 million and $10 million in certain undrawn letters of credit outstanding for Cox and CEI, respectively. Cox and CEI had no outstanding borrowings under the Credit Facility. Remaining capacity under the Credit Facility is available to provide liquidity support for Cox and CEI’s commercial paper programs. As of December 31, 2025, Cox had no outstanding issuances under its commercial paper program.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2024, Cox and CEI's availability under the Credit Facility was reduced as a result of $37 million and $10 million in certain undrawn letters of credit outstanding for Cox and CEI, respectively. As of December 31, 2024, Cox had no outstanding issuances under its commercial paper program and no outstanding borrowings under the Credit Facility.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Commercial Paper Program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has a commercial paper program that it supports by maintaining unused committed capacity under the Credit Facility. Cox's commercial paper program has an agreement with major financial institutions to issue from time to time short-term notes with a maturity of 390 days or less. Short-term notes issued under the commercial paper program are limited to available capacity under the Credit Facility, which is currently a maximum of $3.5 billion outstanding at any time. The short-term notes are sold in private placements, can have a fixed or floating interest rate or be issued at a discount and are issued in minimum denominations of $250,000. The notes are not rated by a nationally recognized statistical rating organization and Cox does not plan to issue notes under its commercial paper program in the near term. As of December 31, 2025 and 2024, CEI had no outstanding commercial paper subject to Cox's guarantee.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Debt Issuances and Repayments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June and February 2025, Cox repaid $150 million of 7.625% notes and $700 million of 3.85% notes, respectively, upon their maturity date. Cox repaid $539 million of 3.15% notes upon their maturity date during the year ended December 31,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August 2024, Cox issued $750 million aggregate principal amount of 5.45% notes due September 2034 and $750 million aggregate principal amount of 5.95% notes due September 2054. In January 2024, Cox also issued an additional $350 million aggregate principal amount of 5.45% notes due September 2028, an additional $300 million aggregate principal amount of 5.70% notes due June 2033 and $850 million aggregate principal amount of 5.80% notes due December 2053. Both issuances were in transactions exempt from registration under the Securities Act of 1933, as amended, pursuant to Rule 144A and Regulation S thereunder. The proceeds will be used for general corporate purposes, which may include the redemption, repayment or repurchase of other outstanding indebtedness, including repayment of debt with scheduled maturities.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Guarantee Arrangements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is a party to an amended and restated credit agreement among Cox and CEI, as borrowers, and JP Morgan Chase Bank, N.A., as administrative agent, and certain other lenders and agents (the "Credit Facility"). CEI designated Cox as a restricted subsidiary under the Credit Facility. At the same time, Cox provided an unconditional guarantee of CEI’s obligations under the Credit Facility and CEI also provided an unconditional guarantee of Cox's obligations under the Credit Facility, which will be automatically released upon the release of Cox's guarantee of CEI's obligations under the Credit Facility. Cox will also guarantee CEI’s obligations under CEI’s commercial paper program. As of December 31, 2025 and 2024, CEI had no outstanding obligations under the Credit Facility and no outstanding commercial paper subject to Cox’s guarantee.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Cox and CEI provide unconditional cross-guarantees of the other’s obligations under each company’s respective outstanding notes (except for Cox's 6.53% debentures due 2028, of which no material amounts are outstanding). CEI and Cox may release their obligations under the cross-guarantee simultaneously with the other party’s release or in other customary circumstances. As of December 31, 2025 and 2024, CEI had $175 million of outstanding notes subject to Cox's guarantee.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Debt Covenants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Cox's debt agreements contain various affirmative, negative and financial agreements. As an example, Cox's Credit Facility requires Cox to maintain a maximum leverage ratio of not more than 5.0 to 1.0 with some exceptions for consummation of qualifying acquisitions. Cox also has restrictions around the level of secured debt and restricted subsidiary debt Cox can maintain. Each of these restrictions is subject to certain exceptions and qualifications that are set forth in these debt agreements. Cox was in compliance with all covenants under both its Credit Facility and its other debt instruments as of December 31, 2025 and 2024. As of December 31, 2025, Cox's leverage ratio, as defined above under "Revolving Credit Facility," was 2.4x.</w:t>
      </w:r>
    </w:p>
    <w:p>
      <w:pPr>
        <w:pStyle w:val="TextBody"/>
        <w:bidi w:val="0"/>
        <w:spacing w:before="0" w:after="0"/>
        <w:ind w:left="0" w:right="0" w:hanging="0"/>
        <w:jc w:val="left"/>
        <w:rPr>
          <w:caps w:val="false"/>
          <w:smallCaps w:val="false"/>
        </w:rPr>
      </w:pPr>
      <w:r>
        <w:rPr>
          <w:caps w:val="false"/>
          <w:smallCaps w:val="false"/>
        </w:rPr>
        <w:t>  </w:t>
      </w:r>
    </w:p>
    <w:tbl>
      <w:tblPr>
        <w:tblW w:w="2148" w:type="dxa"/>
        <w:jc w:val="left"/>
        <w:tblInd w:w="0" w:type="dxa"/>
        <w:tblLayout w:type="fixed"/>
        <w:tblCellMar>
          <w:top w:w="0" w:type="dxa"/>
          <w:left w:w="0" w:type="dxa"/>
          <w:bottom w:w="0" w:type="dxa"/>
          <w:right w:w="0" w:type="dxa"/>
        </w:tblCellMar>
      </w:tblPr>
      <w:tblGrid>
        <w:gridCol w:w="38"/>
        <w:gridCol w:w="170"/>
        <w:gridCol w:w="19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b/>
                <w:sz w:val="20"/>
              </w:rPr>
            </w:pPr>
            <w:r>
              <w:rPr>
                <w:b/>
                <w:sz w:val="20"/>
              </w:rPr>
              <w:t>9.</w:t>
            </w:r>
          </w:p>
        </w:tc>
        <w:tc>
          <w:tcPr>
            <w:tcW w:w="1940" w:type="dxa"/>
            <w:tcBorders/>
            <w:vAlign w:val="center"/>
          </w:tcPr>
          <w:p>
            <w:pPr>
              <w:pStyle w:val="TableContents"/>
              <w:bidi w:val="0"/>
              <w:spacing w:before="0" w:after="283"/>
              <w:jc w:val="both"/>
              <w:rPr>
                <w:b/>
              </w:rPr>
            </w:pPr>
            <w:r>
              <w:rPr>
                <w:b/>
              </w:rPr>
              <w:t>INCOME TAXES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Current and Deferred Income Tax</w:t>
      </w:r>
    </w:p>
    <w:p>
      <w:pPr>
        <w:pStyle w:val="TextBody"/>
        <w:bidi w:val="0"/>
        <w:spacing w:before="0" w:after="0"/>
        <w:ind w:left="0" w:right="0" w:hanging="0"/>
        <w:jc w:val="left"/>
        <w:rPr>
          <w:caps w:val="false"/>
          <w:smallCaps w:val="false"/>
        </w:rPr>
      </w:pPr>
      <w:r>
        <w:rPr>
          <w:caps w:val="false"/>
          <w:smallCaps w:val="false"/>
        </w:rPr>
        <w:t> </w:t>
      </w:r>
    </w:p>
    <w:tbl>
      <w:tblPr>
        <w:tblW w:w="5303" w:type="dxa"/>
        <w:jc w:val="left"/>
        <w:tblInd w:w="0" w:type="dxa"/>
        <w:tblLayout w:type="fixed"/>
        <w:tblCellMar>
          <w:top w:w="0" w:type="dxa"/>
          <w:left w:w="0" w:type="dxa"/>
          <w:bottom w:w="0" w:type="dxa"/>
          <w:right w:w="0" w:type="dxa"/>
        </w:tblCellMar>
      </w:tblPr>
      <w:tblGrid>
        <w:gridCol w:w="2855"/>
        <w:gridCol w:w="60"/>
        <w:gridCol w:w="148"/>
        <w:gridCol w:w="577"/>
        <w:gridCol w:w="95"/>
        <w:gridCol w:w="71"/>
        <w:gridCol w:w="148"/>
        <w:gridCol w:w="470"/>
        <w:gridCol w:w="95"/>
        <w:gridCol w:w="71"/>
        <w:gridCol w:w="148"/>
        <w:gridCol w:w="470"/>
        <w:gridCol w:w="95"/>
      </w:tblGrid>
      <w:tr>
        <w:trPr/>
        <w:tc>
          <w:tcPr>
            <w:tcW w:w="28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293"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Years Ended December 31,</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85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millions)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2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c>
          <w:tcPr>
            <w:tcW w:w="71" w:type="dxa"/>
            <w:tcBorders/>
            <w:vAlign w:val="center"/>
          </w:tcPr>
          <w:p>
            <w:pPr>
              <w:pStyle w:val="TableContents"/>
              <w:bidi w:val="0"/>
              <w:spacing w:before="0" w:after="283"/>
              <w:jc w:val="left"/>
              <w:rPr>
                <w:caps w:val="false"/>
                <w:smallCaps w:val="false"/>
              </w:rPr>
            </w:pPr>
            <w:r>
              <w:rPr>
                <w:caps w:val="false"/>
                <w:smallCaps w:val="false"/>
              </w:rPr>
              <w:t> </w:t>
            </w:r>
          </w:p>
        </w:tc>
        <w:tc>
          <w:tcPr>
            <w:tcW w:w="618"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c>
          <w:tcPr>
            <w:tcW w:w="71" w:type="dxa"/>
            <w:tcBorders/>
            <w:vAlign w:val="center"/>
          </w:tcPr>
          <w:p>
            <w:pPr>
              <w:pStyle w:val="TableContents"/>
              <w:bidi w:val="0"/>
              <w:spacing w:before="0" w:after="283"/>
              <w:jc w:val="left"/>
              <w:rPr>
                <w:caps w:val="false"/>
                <w:smallCaps w:val="false"/>
              </w:rPr>
            </w:pPr>
            <w:r>
              <w:rPr>
                <w:caps w:val="false"/>
                <w:smallCaps w:val="false"/>
              </w:rPr>
              <w:t> </w:t>
            </w:r>
          </w:p>
        </w:tc>
        <w:tc>
          <w:tcPr>
            <w:tcW w:w="618"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2023</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8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expense:</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57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47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47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28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Federal</w:t>
              <w:tab/>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7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(217</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7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(415</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7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(429</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8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w:t>
              <w:tab/>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7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7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7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8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current expense</w:t>
              <w:tab/>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7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(247</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7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(454</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7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(476</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8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benefit (expense):</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57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47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47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28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Federal</w:t>
              <w:tab/>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7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907</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7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7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8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w:t>
              <w:tab/>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7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7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7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8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deferred benefit (expense)</w:t>
              <w:tab/>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7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1,019</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7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7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(150</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8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income tax benefit (expense)</w:t>
              <w:tab/>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8"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77"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772</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8"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7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(450</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8"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7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(626</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Reconciliation of Income Tax at the Statutory Rate to Income Tax Benefit (Expense)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differences between income tax benefit (expense) and income taxes expected at the U.S. statutory federal income tax rate of 21% are as follows:</w:t>
      </w:r>
    </w:p>
    <w:p>
      <w:pPr>
        <w:pStyle w:val="TextBody"/>
        <w:bidi w:val="0"/>
        <w:spacing w:before="0" w:after="0"/>
        <w:ind w:left="0" w:right="0" w:hanging="0"/>
        <w:jc w:val="left"/>
        <w:rPr>
          <w:caps w:val="false"/>
          <w:smallCaps w:val="false"/>
        </w:rPr>
      </w:pPr>
      <w:r>
        <w:rPr>
          <w:caps w:val="false"/>
          <w:smallCaps w:val="false"/>
        </w:rPr>
        <w:t> </w:t>
      </w:r>
    </w:p>
    <w:tbl>
      <w:tblPr>
        <w:tblW w:w="9005" w:type="dxa"/>
        <w:jc w:val="left"/>
        <w:tblInd w:w="0" w:type="dxa"/>
        <w:tblLayout w:type="fixed"/>
        <w:tblCellMar>
          <w:top w:w="0" w:type="dxa"/>
          <w:left w:w="0" w:type="dxa"/>
          <w:bottom w:w="0" w:type="dxa"/>
          <w:right w:w="0" w:type="dxa"/>
        </w:tblCellMar>
      </w:tblPr>
      <w:tblGrid>
        <w:gridCol w:w="4835"/>
        <w:gridCol w:w="60"/>
        <w:gridCol w:w="125"/>
        <w:gridCol w:w="335"/>
        <w:gridCol w:w="80"/>
        <w:gridCol w:w="60"/>
        <w:gridCol w:w="60"/>
        <w:gridCol w:w="380"/>
        <w:gridCol w:w="245"/>
        <w:gridCol w:w="60"/>
        <w:gridCol w:w="125"/>
        <w:gridCol w:w="395"/>
        <w:gridCol w:w="80"/>
        <w:gridCol w:w="60"/>
        <w:gridCol w:w="60"/>
        <w:gridCol w:w="380"/>
        <w:gridCol w:w="245"/>
        <w:gridCol w:w="60"/>
        <w:gridCol w:w="125"/>
        <w:gridCol w:w="395"/>
        <w:gridCol w:w="80"/>
        <w:gridCol w:w="60"/>
        <w:gridCol w:w="60"/>
        <w:gridCol w:w="380"/>
        <w:gridCol w:w="260"/>
      </w:tblGrid>
      <w:tr>
        <w:trPr/>
        <w:tc>
          <w:tcPr>
            <w:tcW w:w="48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850" w:type="dxa"/>
            <w:gridSpan w:val="2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Years Ended December 31,</w:t>
            </w:r>
          </w:p>
        </w:tc>
        <w:tc>
          <w:tcPr>
            <w:tcW w:w="2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83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millions)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4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0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0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2023</w:t>
            </w:r>
          </w:p>
        </w:tc>
        <w:tc>
          <w:tcPr>
            <w:tcW w:w="2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8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 benefit (expense) at U.S. federal statutory rate</w:t>
              <w:tab/>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3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21.0</w:t>
            </w:r>
          </w:p>
        </w:tc>
        <w:tc>
          <w:tcPr>
            <w:tcW w:w="2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3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(457</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21.0</w:t>
            </w:r>
          </w:p>
        </w:tc>
        <w:tc>
          <w:tcPr>
            <w:tcW w:w="2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3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21.0</w:t>
            </w:r>
          </w:p>
        </w:tc>
        <w:tc>
          <w:tcPr>
            <w:tcW w:w="2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8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State and local income taxes — net of federal tax impact </w:t>
            </w:r>
            <w:r>
              <w:rPr>
                <w:rFonts w:ascii="Times New Roman;Times;Serif" w:hAnsi="Times New Roman;Times;Serif"/>
                <w:b w:val="false"/>
                <w:i w:val="false"/>
                <w:caps w:val="false"/>
                <w:smallCaps w:val="false"/>
                <w:position w:val="7"/>
                <w:sz w:val="16"/>
                <w:sz w:val="20"/>
              </w:rPr>
              <w:t>(a)</w:t>
            </w:r>
            <w:r>
              <w:rPr>
                <w:rFonts w:ascii="Times New Roman;Times;Serif" w:hAnsi="Times New Roman;Times;Serif"/>
                <w:b w:val="false"/>
                <w:i w:val="false"/>
                <w:caps w:val="false"/>
                <w:smallCaps w:val="false"/>
                <w:sz w:val="20"/>
              </w:rPr>
              <w:tab/>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3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8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w:t>
            </w:r>
          </w:p>
        </w:tc>
        <w:tc>
          <w:tcPr>
            <w:tcW w:w="2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8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0.3</w:t>
            </w:r>
          </w:p>
        </w:tc>
        <w:tc>
          <w:tcPr>
            <w:tcW w:w="2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8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w:t>
            </w:r>
          </w:p>
        </w:tc>
        <w:tc>
          <w:tcPr>
            <w:tcW w:w="2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8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credits</w:t>
              <w:tab/>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0.3</w:t>
            </w:r>
          </w:p>
        </w:tc>
        <w:tc>
          <w:tcPr>
            <w:tcW w:w="2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(0.7</w:t>
            </w:r>
          </w:p>
        </w:tc>
        <w:tc>
          <w:tcPr>
            <w:tcW w:w="2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(0.4</w:t>
            </w:r>
          </w:p>
        </w:tc>
        <w:tc>
          <w:tcPr>
            <w:tcW w:w="2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8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federal valuation allowances</w:t>
              <w:tab/>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3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8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(0.6</w:t>
            </w:r>
          </w:p>
        </w:tc>
        <w:tc>
          <w:tcPr>
            <w:tcW w:w="2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9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8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2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9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8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2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8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adjustments</w:t>
              <w:tab/>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33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380"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2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395"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3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0.1</w:t>
            </w:r>
          </w:p>
        </w:tc>
        <w:tc>
          <w:tcPr>
            <w:tcW w:w="2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3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3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0.1</w:t>
            </w:r>
          </w:p>
        </w:tc>
        <w:tc>
          <w:tcPr>
            <w:tcW w:w="2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8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 benefit (expense)</w:t>
              <w:tab/>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33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38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22.6</w:t>
            </w:r>
          </w:p>
        </w:tc>
        <w:tc>
          <w:tcPr>
            <w:tcW w:w="2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39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38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20.7</w:t>
            </w:r>
          </w:p>
        </w:tc>
        <w:tc>
          <w:tcPr>
            <w:tcW w:w="2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39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(626</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38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24.6</w:t>
            </w:r>
          </w:p>
        </w:tc>
        <w:tc>
          <w:tcPr>
            <w:tcW w:w="2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6"/>
        <w:gridCol w:w="9971"/>
      </w:tblGrid>
      <w:tr>
        <w:trPr/>
        <w:tc>
          <w:tcPr>
            <w:tcW w:w="3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position w:val="8"/>
                <w:sz w:val="19"/>
              </w:rPr>
            </w:pPr>
            <w:r>
              <w:rPr>
                <w:position w:val="8"/>
                <w:sz w:val="19"/>
              </w:rPr>
              <w:t>(a)</w:t>
            </w:r>
          </w:p>
        </w:tc>
        <w:tc>
          <w:tcPr>
            <w:tcW w:w="9971" w:type="dxa"/>
            <w:tcBorders/>
            <w:vAlign w:val="center"/>
          </w:tcPr>
          <w:p>
            <w:pPr>
              <w:pStyle w:val="TableContents"/>
              <w:bidi w:val="0"/>
              <w:spacing w:before="0" w:after="283"/>
              <w:jc w:val="both"/>
              <w:rPr/>
            </w:pPr>
            <w:r>
              <w:rPr/>
              <w:t>State taxes in the following jurisdictions comprised greater than 50% of the tax effect in this category for each year presented: California, Kansas, Louisiana and Virginia in 2025 and Louisiana and California in 2024 and 2023.</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change in income tax benefit (expense) between 2025 and 2024 was primarily due to a loss before income taxes in the current year compared with income before income taxes in the prior year, as well as, state and federal valuation allowance increases in 2025 and a decrease in state taxes due to a statutory tax rate reduction in 2024. The change in income tax expense between 2024 and 2023 was primarily due to a decrease in income before income taxes, a decrease in state taxes due to a statutory tax rate reduction in 2024 and a decrease in state taxes due to an audit settlement in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Tax Payment Summary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taxes paid are as follows:</w:t>
      </w:r>
    </w:p>
    <w:p>
      <w:pPr>
        <w:pStyle w:val="TextBody"/>
        <w:bidi w:val="0"/>
        <w:spacing w:before="0" w:after="0"/>
        <w:ind w:left="0" w:right="0" w:hanging="0"/>
        <w:jc w:val="left"/>
        <w:rPr>
          <w:caps w:val="false"/>
          <w:smallCaps w:val="false"/>
        </w:rPr>
      </w:pPr>
      <w:r>
        <w:rPr>
          <w:caps w:val="false"/>
          <w:smallCaps w:val="false"/>
        </w:rPr>
        <w:t> </w:t>
      </w:r>
    </w:p>
    <w:tbl>
      <w:tblPr>
        <w:tblW w:w="5110" w:type="dxa"/>
        <w:jc w:val="left"/>
        <w:tblInd w:w="0" w:type="dxa"/>
        <w:tblLayout w:type="fixed"/>
        <w:tblCellMar>
          <w:top w:w="0" w:type="dxa"/>
          <w:left w:w="0" w:type="dxa"/>
          <w:bottom w:w="0" w:type="dxa"/>
          <w:right w:w="0" w:type="dxa"/>
        </w:tblCellMar>
      </w:tblPr>
      <w:tblGrid>
        <w:gridCol w:w="2525"/>
        <w:gridCol w:w="60"/>
        <w:gridCol w:w="148"/>
        <w:gridCol w:w="399"/>
        <w:gridCol w:w="256"/>
        <w:gridCol w:w="71"/>
        <w:gridCol w:w="148"/>
        <w:gridCol w:w="399"/>
        <w:gridCol w:w="256"/>
        <w:gridCol w:w="71"/>
        <w:gridCol w:w="148"/>
        <w:gridCol w:w="399"/>
        <w:gridCol w:w="230"/>
      </w:tblGrid>
      <w:tr>
        <w:trPr/>
        <w:tc>
          <w:tcPr>
            <w:tcW w:w="25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295"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Years Ended December 31,</w:t>
            </w:r>
          </w:p>
        </w:tc>
        <w:tc>
          <w:tcPr>
            <w:tcW w:w="23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52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millions)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4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256" w:type="dxa"/>
            <w:tcBorders/>
            <w:vAlign w:val="center"/>
          </w:tcPr>
          <w:p>
            <w:pPr>
              <w:pStyle w:val="TableContents"/>
              <w:bidi w:val="0"/>
              <w:spacing w:before="0" w:after="283"/>
              <w:jc w:val="left"/>
              <w:rPr>
                <w:caps w:val="false"/>
                <w:smallCaps w:val="false"/>
              </w:rPr>
            </w:pPr>
            <w:r>
              <w:rPr>
                <w:caps w:val="false"/>
                <w:smallCaps w:val="false"/>
              </w:rPr>
              <w:t> </w:t>
            </w:r>
          </w:p>
        </w:tc>
        <w:tc>
          <w:tcPr>
            <w:tcW w:w="71" w:type="dxa"/>
            <w:tcBorders/>
            <w:vAlign w:val="center"/>
          </w:tcPr>
          <w:p>
            <w:pPr>
              <w:pStyle w:val="TableContents"/>
              <w:bidi w:val="0"/>
              <w:spacing w:before="0" w:after="283"/>
              <w:jc w:val="left"/>
              <w:rPr>
                <w:caps w:val="false"/>
                <w:smallCaps w:val="false"/>
              </w:rPr>
            </w:pPr>
            <w:r>
              <w:rPr>
                <w:caps w:val="false"/>
                <w:smallCaps w:val="false"/>
              </w:rPr>
              <w:t> </w:t>
            </w:r>
          </w:p>
        </w:tc>
        <w:tc>
          <w:tcPr>
            <w:tcW w:w="54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256" w:type="dxa"/>
            <w:tcBorders/>
            <w:vAlign w:val="center"/>
          </w:tcPr>
          <w:p>
            <w:pPr>
              <w:pStyle w:val="TableContents"/>
              <w:bidi w:val="0"/>
              <w:spacing w:before="0" w:after="283"/>
              <w:jc w:val="left"/>
              <w:rPr>
                <w:caps w:val="false"/>
                <w:smallCaps w:val="false"/>
              </w:rPr>
            </w:pPr>
            <w:r>
              <w:rPr>
                <w:caps w:val="false"/>
                <w:smallCaps w:val="false"/>
              </w:rPr>
              <w:t> </w:t>
            </w:r>
          </w:p>
        </w:tc>
        <w:tc>
          <w:tcPr>
            <w:tcW w:w="71" w:type="dxa"/>
            <w:tcBorders/>
            <w:vAlign w:val="center"/>
          </w:tcPr>
          <w:p>
            <w:pPr>
              <w:pStyle w:val="TableContents"/>
              <w:bidi w:val="0"/>
              <w:spacing w:before="0" w:after="283"/>
              <w:jc w:val="left"/>
              <w:rPr>
                <w:caps w:val="false"/>
                <w:smallCaps w:val="false"/>
              </w:rPr>
            </w:pPr>
            <w:r>
              <w:rPr>
                <w:caps w:val="false"/>
                <w:smallCaps w:val="false"/>
              </w:rPr>
              <w:t> </w:t>
            </w:r>
          </w:p>
        </w:tc>
        <w:tc>
          <w:tcPr>
            <w:tcW w:w="54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2023</w:t>
            </w:r>
          </w:p>
        </w:tc>
        <w:tc>
          <w:tcPr>
            <w:tcW w:w="23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5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Federal</w:t>
              <w:tab/>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39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217</w:t>
            </w:r>
          </w:p>
        </w:tc>
        <w:tc>
          <w:tcPr>
            <w:tcW w:w="25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39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415</w:t>
            </w:r>
          </w:p>
        </w:tc>
        <w:tc>
          <w:tcPr>
            <w:tcW w:w="25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39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429</w:t>
            </w:r>
          </w:p>
        </w:tc>
        <w:tc>
          <w:tcPr>
            <w:tcW w:w="23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5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399" w:type="dxa"/>
            <w:tcBorders/>
            <w:shd w:fill="FFFFFF" w:val="clear"/>
            <w:vAlign w:val="center"/>
          </w:tcPr>
          <w:p>
            <w:pPr>
              <w:pStyle w:val="TableContents"/>
              <w:bidi w:val="0"/>
              <w:spacing w:before="0" w:after="283"/>
              <w:jc w:val="right"/>
              <w:rPr/>
            </w:pPr>
            <w:r>
              <w:rPr/>
              <w:t> </w:t>
            </w:r>
          </w:p>
        </w:tc>
        <w:tc>
          <w:tcPr>
            <w:tcW w:w="256"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399" w:type="dxa"/>
            <w:tcBorders/>
            <w:shd w:fill="FFFFFF" w:val="clear"/>
            <w:vAlign w:val="center"/>
          </w:tcPr>
          <w:p>
            <w:pPr>
              <w:pStyle w:val="TableContents"/>
              <w:bidi w:val="0"/>
              <w:spacing w:before="0" w:after="283"/>
              <w:jc w:val="right"/>
              <w:rPr/>
            </w:pPr>
            <w:r>
              <w:rPr/>
              <w:t> </w:t>
            </w:r>
          </w:p>
        </w:tc>
        <w:tc>
          <w:tcPr>
            <w:tcW w:w="256"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399" w:type="dxa"/>
            <w:tcBorders/>
            <w:shd w:fill="FFFFFF" w:val="clear"/>
            <w:vAlign w:val="center"/>
          </w:tcPr>
          <w:p>
            <w:pPr>
              <w:pStyle w:val="TableContents"/>
              <w:bidi w:val="0"/>
              <w:spacing w:before="0" w:after="283"/>
              <w:jc w:val="right"/>
              <w:rPr/>
            </w:pPr>
            <w:r>
              <w:rPr/>
              <w:t> </w:t>
            </w:r>
          </w:p>
        </w:tc>
        <w:tc>
          <w:tcPr>
            <w:tcW w:w="230" w:type="dxa"/>
            <w:tcBorders/>
            <w:shd w:fill="FFFFFF" w:val="clear"/>
            <w:vAlign w:val="center"/>
          </w:tcPr>
          <w:p>
            <w:pPr>
              <w:pStyle w:val="TableContents"/>
              <w:bidi w:val="0"/>
              <w:spacing w:before="0" w:after="283"/>
              <w:jc w:val="left"/>
              <w:rPr/>
            </w:pPr>
            <w:r>
              <w:rPr/>
              <w:t> </w:t>
            </w:r>
          </w:p>
        </w:tc>
      </w:tr>
      <w:tr>
        <w:trPr/>
        <w:tc>
          <w:tcPr>
            <w:tcW w:w="25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399" w:type="dxa"/>
            <w:tcBorders/>
            <w:shd w:fill="CCEEFF" w:val="clear"/>
            <w:vAlign w:val="center"/>
          </w:tcPr>
          <w:p>
            <w:pPr>
              <w:pStyle w:val="TableContents"/>
              <w:bidi w:val="0"/>
              <w:spacing w:before="0" w:after="283"/>
              <w:jc w:val="right"/>
              <w:rPr/>
            </w:pPr>
            <w:r>
              <w:rPr/>
              <w:t> </w:t>
            </w:r>
          </w:p>
        </w:tc>
        <w:tc>
          <w:tcPr>
            <w:tcW w:w="256"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399" w:type="dxa"/>
            <w:tcBorders/>
            <w:shd w:fill="CCEEFF" w:val="clear"/>
            <w:vAlign w:val="center"/>
          </w:tcPr>
          <w:p>
            <w:pPr>
              <w:pStyle w:val="TableContents"/>
              <w:bidi w:val="0"/>
              <w:spacing w:before="0" w:after="283"/>
              <w:jc w:val="right"/>
              <w:rPr/>
            </w:pPr>
            <w:r>
              <w:rPr/>
              <w:t> </w:t>
            </w:r>
          </w:p>
        </w:tc>
        <w:tc>
          <w:tcPr>
            <w:tcW w:w="256"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399" w:type="dxa"/>
            <w:tcBorders/>
            <w:shd w:fill="CCEEFF" w:val="clear"/>
            <w:vAlign w:val="center"/>
          </w:tcPr>
          <w:p>
            <w:pPr>
              <w:pStyle w:val="TableContents"/>
              <w:bidi w:val="0"/>
              <w:spacing w:before="0" w:after="283"/>
              <w:jc w:val="right"/>
              <w:rPr/>
            </w:pPr>
            <w:r>
              <w:rPr/>
              <w:t> </w:t>
            </w:r>
          </w:p>
        </w:tc>
        <w:tc>
          <w:tcPr>
            <w:tcW w:w="230" w:type="dxa"/>
            <w:tcBorders/>
            <w:shd w:fill="CCEEFF" w:val="clear"/>
            <w:vAlign w:val="center"/>
          </w:tcPr>
          <w:p>
            <w:pPr>
              <w:pStyle w:val="TableContents"/>
              <w:bidi w:val="0"/>
              <w:spacing w:before="0" w:after="283"/>
              <w:jc w:val="left"/>
              <w:rPr/>
            </w:pPr>
            <w:r>
              <w:rPr/>
              <w:t> </w:t>
            </w:r>
          </w:p>
        </w:tc>
      </w:tr>
      <w:tr>
        <w:trPr/>
        <w:tc>
          <w:tcPr>
            <w:tcW w:w="25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Arizona</w:t>
              <w:tab/>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99"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25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position w:val="7"/>
                <w:sz w:val="16"/>
                <w:sz w:val="20"/>
              </w:rPr>
            </w:pPr>
            <w:r>
              <w:rPr>
                <w:rFonts w:ascii="Times New Roman;Times;Serif" w:hAnsi="Times New Roman;Times;Serif"/>
                <w:b w:val="false"/>
                <w:i w:val="false"/>
                <w:caps w:val="false"/>
                <w:smallCaps w:val="false"/>
                <w:position w:val="7"/>
                <w:sz w:val="16"/>
                <w:sz w:val="20"/>
              </w:rPr>
              <w:t>(a)</w:t>
            </w:r>
          </w:p>
        </w:tc>
        <w:tc>
          <w:tcPr>
            <w:tcW w:w="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99"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25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position w:val="7"/>
                <w:sz w:val="16"/>
                <w:sz w:val="20"/>
              </w:rPr>
            </w:pPr>
            <w:r>
              <w:rPr>
                <w:rFonts w:ascii="Times New Roman;Times;Serif" w:hAnsi="Times New Roman;Times;Serif"/>
                <w:b w:val="false"/>
                <w:i w:val="false"/>
                <w:caps w:val="false"/>
                <w:smallCaps w:val="false"/>
                <w:position w:val="7"/>
                <w:sz w:val="16"/>
                <w:sz w:val="20"/>
              </w:rPr>
              <w:t>(a)</w:t>
            </w:r>
          </w:p>
        </w:tc>
        <w:tc>
          <w:tcPr>
            <w:tcW w:w="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9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w:t>
            </w:r>
          </w:p>
        </w:tc>
        <w:tc>
          <w:tcPr>
            <w:tcW w:w="23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5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California</w:t>
              <w:tab/>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9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c>
          <w:tcPr>
            <w:tcW w:w="25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99"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25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position w:val="7"/>
                <w:sz w:val="16"/>
                <w:sz w:val="20"/>
              </w:rPr>
            </w:pPr>
            <w:r>
              <w:rPr>
                <w:rFonts w:ascii="Times New Roman;Times;Serif" w:hAnsi="Times New Roman;Times;Serif"/>
                <w:b w:val="false"/>
                <w:i w:val="false"/>
                <w:caps w:val="false"/>
                <w:smallCaps w:val="false"/>
                <w:position w:val="7"/>
                <w:sz w:val="16"/>
                <w:sz w:val="20"/>
              </w:rPr>
              <w:t>(a)</w:t>
            </w:r>
          </w:p>
        </w:tc>
        <w:tc>
          <w:tcPr>
            <w:tcW w:w="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99"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2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position w:val="7"/>
                <w:sz w:val="16"/>
                <w:sz w:val="20"/>
              </w:rPr>
            </w:pPr>
            <w:r>
              <w:rPr>
                <w:rFonts w:ascii="Times New Roman;Times;Serif" w:hAnsi="Times New Roman;Times;Serif"/>
                <w:b w:val="false"/>
                <w:i w:val="false"/>
                <w:caps w:val="false"/>
                <w:smallCaps w:val="false"/>
                <w:position w:val="7"/>
                <w:sz w:val="16"/>
                <w:sz w:val="20"/>
              </w:rPr>
              <w:t>(a)</w:t>
            </w:r>
          </w:p>
        </w:tc>
      </w:tr>
      <w:tr>
        <w:trPr/>
        <w:tc>
          <w:tcPr>
            <w:tcW w:w="25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w:t>
              <w:tab/>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39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w:t>
            </w:r>
          </w:p>
        </w:tc>
        <w:tc>
          <w:tcPr>
            <w:tcW w:w="25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39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w:t>
            </w:r>
          </w:p>
        </w:tc>
        <w:tc>
          <w:tcPr>
            <w:tcW w:w="25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39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w:t>
            </w:r>
          </w:p>
        </w:tc>
        <w:tc>
          <w:tcPr>
            <w:tcW w:w="23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5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income taxes paid — net</w:t>
              <w:tab/>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8"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399"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258</w:t>
            </w:r>
          </w:p>
        </w:tc>
        <w:tc>
          <w:tcPr>
            <w:tcW w:w="25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8"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399"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476</w:t>
            </w:r>
          </w:p>
        </w:tc>
        <w:tc>
          <w:tcPr>
            <w:tcW w:w="25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8"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399"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490</w:t>
            </w:r>
          </w:p>
        </w:tc>
        <w:tc>
          <w:tcPr>
            <w:tcW w:w="23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(a)</w:t>
      </w:r>
      <w:r>
        <w:rPr>
          <w:rFonts w:ascii="Times New Roman;Times;Serif" w:hAnsi="Times New Roman;Times;Serif"/>
          <w:b w:val="false"/>
          <w:i w:val="false"/>
          <w:caps w:val="false"/>
          <w:smallCaps w:val="false"/>
          <w:sz w:val="20"/>
        </w:rPr>
        <w:t> Jurisdiction below the threshold for period presented.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amounts disclosed as income taxes paid include both cash tax payments made directly to taxing authorities and payments made by Cox to its parent in settlement of its share of consolidated income tax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Deferred Income Taxes</w:t>
      </w:r>
    </w:p>
    <w:p>
      <w:pPr>
        <w:pStyle w:val="TextBody"/>
        <w:bidi w:val="0"/>
        <w:spacing w:before="0" w:after="0"/>
        <w:ind w:left="0" w:right="0" w:hanging="0"/>
        <w:jc w:val="left"/>
        <w:rPr>
          <w:caps w:val="false"/>
          <w:smallCaps w:val="false"/>
        </w:rPr>
      </w:pPr>
      <w:r>
        <w:rPr>
          <w:caps w:val="false"/>
          <w:smallCaps w:val="false"/>
        </w:rPr>
        <w:t> </w:t>
      </w:r>
    </w:p>
    <w:tbl>
      <w:tblPr>
        <w:tblW w:w="4715" w:type="dxa"/>
        <w:jc w:val="left"/>
        <w:tblInd w:w="0" w:type="dxa"/>
        <w:tblLayout w:type="fixed"/>
        <w:tblCellMar>
          <w:top w:w="0" w:type="dxa"/>
          <w:left w:w="0" w:type="dxa"/>
          <w:bottom w:w="0" w:type="dxa"/>
          <w:right w:w="0" w:type="dxa"/>
        </w:tblCellMar>
      </w:tblPr>
      <w:tblGrid>
        <w:gridCol w:w="3080"/>
        <w:gridCol w:w="60"/>
        <w:gridCol w:w="125"/>
        <w:gridCol w:w="545"/>
        <w:gridCol w:w="80"/>
        <w:gridCol w:w="60"/>
        <w:gridCol w:w="125"/>
        <w:gridCol w:w="545"/>
        <w:gridCol w:w="95"/>
      </w:tblGrid>
      <w:tr>
        <w:trPr/>
        <w:tc>
          <w:tcPr>
            <w:tcW w:w="30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48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08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millions)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7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7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0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deferred tax (liabilities) 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30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and equipment</w:t>
              <w:tab/>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(2,095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(2,115</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0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Intangible assets</w:t>
              <w:tab/>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(2,571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(3,657</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0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Investments</w:t>
              <w:tab/>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0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Employee benefits and compensation</w:t>
              <w:tab/>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0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operating losses and tax credits</w:t>
              <w:tab/>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355</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0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Finance lease obligations</w:t>
              <w:tab/>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0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lease ROU assets</w:t>
              <w:tab/>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0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lease liabilities</w:t>
              <w:tab/>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0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 net</w:t>
              <w:tab/>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0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w:t>
              <w:tab/>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(4,140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(5,197</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0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Valuation allowance</w:t>
              <w:tab/>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(306</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(268</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0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net deferred tax liability</w:t>
              <w:tab/>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4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(4,446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4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(5,465</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majority of the gross deferred tax assets for federal and state net operating loss and credit carryforwards will expire in varying amounts through 2045. As of December 31, 2025, Cox's valuation allowance was primarily related to state net operating loss carryforwards and hypothetical federal and state capital loss carryforwards under the separate return method. A portion of the valuation allowance reflects prior year adjustments associated with state net operating losses. As of December 31, 2024, the valuation allowance related primarily to state net operating loss carryforwards.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separate return method, Cox generated federal and state capital losses. However, these tax attributes have been used in the consolidated income tax return filings to offset capital gains generated by other CEI subsidiaries. As of December 31, 2025, Cox has hypothetical deferred tax asset for capital loss carryforwards of $100 million, as well as immaterial hypothetical state losses, both of which have a corresponding full valuation allowance.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Uncertain Tax Positions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Cox's unrecognized tax benefits relate to a variety of issues for which the ultimate tax determination is uncertain due to the interpretation and judgment necessary in applying complex tax laws and regulations in various taxing jurisdictions. A reconciliation of the beginning and ending amounts of unrecognized tax benefits, exclusive of interest and penalties, is as follows:</w:t>
      </w:r>
    </w:p>
    <w:p>
      <w:pPr>
        <w:pStyle w:val="TextBody"/>
        <w:bidi w:val="0"/>
        <w:spacing w:before="0" w:after="0"/>
        <w:ind w:left="0" w:right="0" w:hanging="0"/>
        <w:jc w:val="left"/>
        <w:rPr>
          <w:caps w:val="false"/>
          <w:smallCaps w:val="false"/>
        </w:rPr>
      </w:pPr>
      <w:r>
        <w:rPr>
          <w:caps w:val="false"/>
          <w:smallCaps w:val="false"/>
        </w:rPr>
        <w:t> </w:t>
      </w:r>
    </w:p>
    <w:tbl>
      <w:tblPr>
        <w:tblW w:w="5945" w:type="dxa"/>
        <w:jc w:val="left"/>
        <w:tblInd w:w="0" w:type="dxa"/>
        <w:tblLayout w:type="fixed"/>
        <w:tblCellMar>
          <w:top w:w="0" w:type="dxa"/>
          <w:left w:w="0" w:type="dxa"/>
          <w:bottom w:w="28" w:type="dxa"/>
          <w:right w:w="0" w:type="dxa"/>
        </w:tblCellMar>
      </w:tblPr>
      <w:tblGrid>
        <w:gridCol w:w="5375"/>
        <w:gridCol w:w="60"/>
        <w:gridCol w:w="125"/>
        <w:gridCol w:w="290"/>
        <w:gridCol w:w="95"/>
      </w:tblGrid>
      <w:tr>
        <w:trPr/>
        <w:tc>
          <w:tcPr>
            <w:tcW w:w="5375"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millions)</w:t>
            </w:r>
          </w:p>
        </w:tc>
        <w:tc>
          <w:tcPr>
            <w:tcW w:w="60" w:type="dxa"/>
            <w:tcBorders/>
            <w:tcMar>
              <w:bottom w:w="0" w:type="dxa"/>
            </w:tcMar>
            <w:vAlign w:val="center"/>
          </w:tcPr>
          <w:p>
            <w:pPr>
              <w:pStyle w:val="TableContents"/>
              <w:bidi w:val="0"/>
              <w:spacing w:before="0" w:after="283"/>
              <w:jc w:val="left"/>
              <w:rPr/>
            </w:pPr>
            <w:r>
              <w:rPr/>
              <w:t> </w:t>
            </w:r>
          </w:p>
        </w:tc>
        <w:tc>
          <w:tcPr>
            <w:tcW w:w="415" w:type="dxa"/>
            <w:gridSpan w:val="2"/>
            <w:tcBorders/>
            <w:tcMar>
              <w:bottom w:w="0" w:type="dxa"/>
            </w:tcMar>
            <w:vAlign w:val="center"/>
          </w:tcPr>
          <w:p>
            <w:pPr>
              <w:pStyle w:val="TableContents"/>
              <w:bidi w:val="0"/>
              <w:spacing w:before="0" w:after="283"/>
              <w:jc w:val="left"/>
              <w:rPr/>
            </w:pPr>
            <w:r>
              <w:rPr/>
              <w:t> </w:t>
            </w:r>
          </w:p>
        </w:tc>
        <w:tc>
          <w:tcPr>
            <w:tcW w:w="95" w:type="dxa"/>
            <w:tcBorders/>
            <w:tcMar>
              <w:bottom w:w="0" w:type="dxa"/>
            </w:tcMar>
            <w:vAlign w:val="center"/>
          </w:tcPr>
          <w:p>
            <w:pPr>
              <w:pStyle w:val="TableContents"/>
              <w:bidi w:val="0"/>
              <w:spacing w:before="0" w:after="283"/>
              <w:jc w:val="left"/>
              <w:rPr/>
            </w:pPr>
            <w:r>
              <w:rPr/>
              <w:t> </w:t>
            </w:r>
          </w:p>
        </w:tc>
      </w:tr>
      <w:tr>
        <w:trPr/>
        <w:tc>
          <w:tcPr>
            <w:tcW w:w="537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Balance—January 1, 2024</w:t>
              <w:tab/>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9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w:t>
            </w:r>
          </w:p>
        </w:tc>
        <w:tc>
          <w:tcPr>
            <w:tcW w:w="9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537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Activity on prior year tax positions</w:t>
              <w:tab/>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9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9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537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Additions on current year tax positions</w:t>
              <w:tab/>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9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537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Reductions on settlements with taxing authorities and expirations</w:t>
              <w:tab/>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90"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w:t>
            </w:r>
          </w:p>
        </w:tc>
        <w:tc>
          <w:tcPr>
            <w:tcW w:w="9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37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Balance—December 31, 2024</w:t>
              <w:tab/>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9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w:t>
            </w:r>
          </w:p>
        </w:tc>
        <w:tc>
          <w:tcPr>
            <w:tcW w:w="9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537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Activity on prior year tax positions</w:t>
              <w:tab/>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90"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537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Additions on current year tax positions</w:t>
              <w:tab/>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9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537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Reductions on settlements with taxing authorities and expirations</w:t>
              <w:tab/>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90"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c>
          <w:tcPr>
            <w:tcW w:w="9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37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Balance—December 31, 2025</w:t>
              <w:tab/>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90"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w:t>
            </w:r>
          </w:p>
        </w:tc>
        <w:tc>
          <w:tcPr>
            <w:tcW w:w="9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is under examination for the tax year 2025 and 2024 in the Internal Revenue Service's ("IRS") Compliance Assurance Program. This program accelerates the examination of key transactions with the goal of resolving any issues before the tax return is filed with the IRS. As of the date of the financial statement issuance, Cox federal tax returns have been examined and all issues have been settled through the 2023 tax year. Various states are currently conducting examinations of Cox's income tax returns for tax years 2016 through 2022. The statute of limitations for Cox's major tax jurisdictions remains open for examination for tax years 2016 to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classifies penalties and interest associated with its unrecognized tax benefits as a component of income tax expense. For the years ended December 31, 2025, 2024 and 2023, penalties and interest expense are immaterial. As of December 31, 2025 and 2024, Cox has immaterial accrued liabilities for potential interest and penalties.</w:t>
      </w:r>
    </w:p>
    <w:p>
      <w:pPr>
        <w:pStyle w:val="TextBody"/>
        <w:bidi w:val="0"/>
        <w:spacing w:before="0" w:after="0"/>
        <w:ind w:left="0" w:right="0" w:hanging="0"/>
        <w:jc w:val="left"/>
        <w:rPr>
          <w:caps w:val="false"/>
          <w:smallCaps w:val="false"/>
        </w:rPr>
      </w:pPr>
      <w:r>
        <w:rPr>
          <w:caps w:val="false"/>
          <w:smallCaps w:val="false"/>
        </w:rPr>
        <w:t>  </w:t>
      </w:r>
    </w:p>
    <w:tbl>
      <w:tblPr>
        <w:tblW w:w="5013" w:type="dxa"/>
        <w:jc w:val="left"/>
        <w:tblInd w:w="0" w:type="dxa"/>
        <w:tblLayout w:type="fixed"/>
        <w:tblCellMar>
          <w:top w:w="0" w:type="dxa"/>
          <w:left w:w="0" w:type="dxa"/>
          <w:bottom w:w="0" w:type="dxa"/>
          <w:right w:w="0" w:type="dxa"/>
        </w:tblCellMar>
      </w:tblPr>
      <w:tblGrid>
        <w:gridCol w:w="38"/>
        <w:gridCol w:w="275"/>
        <w:gridCol w:w="470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b/>
                <w:sz w:val="20"/>
              </w:rPr>
            </w:pPr>
            <w:r>
              <w:rPr>
                <w:b/>
                <w:sz w:val="20"/>
              </w:rPr>
              <w:t>10.</w:t>
            </w:r>
          </w:p>
        </w:tc>
        <w:tc>
          <w:tcPr>
            <w:tcW w:w="4700" w:type="dxa"/>
            <w:tcBorders/>
            <w:vAlign w:val="center"/>
          </w:tcPr>
          <w:p>
            <w:pPr>
              <w:pStyle w:val="TableContents"/>
              <w:bidi w:val="0"/>
              <w:spacing w:before="0" w:after="283"/>
              <w:jc w:val="left"/>
              <w:rPr>
                <w:b/>
              </w:rPr>
            </w:pPr>
            <w:r>
              <w:rPr>
                <w:b/>
              </w:rPr>
              <w:t>COMMITMENTS AND CONTINGENCIES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time of divesting an ownership interest in an entity, Cox sometimes agrees to indemnify the buyer for certain liability risks. Cox believes that any liability to the company that may arise as a result of such indemnification agreements will not have a material adverse effect on the company taken as a whole.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December 31, 2025, Cox had outstanding purchase commitments primarily related to costs associated with telecommunication networks, infrastructure, cloud computing and engineering totaling $1.0 billion, $332 million, $196 million, $141 million, $93 million and $254 million for the years ended December 31, 2026, 2027, 2028, 2029, 2030 and thereafter, respectively, as well as construction commitments of $289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Legal Proceedings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Sony Music et al. </w:t>
      </w:r>
      <w:r>
        <w:rPr>
          <w:rFonts w:ascii="Times New Roman;Times;Serif" w:hAnsi="Times New Roman;Times;Serif"/>
          <w:b w:val="false"/>
          <w:i w:val="false"/>
          <w:caps w:val="false"/>
          <w:smallCaps w:val="false"/>
          <w:sz w:val="20"/>
        </w:rPr>
        <w:t>— In July 2018, Sony Music Entertainment Inc., Warner Bros. Records Inc., Universal Music Corp. and several other music publishers and recording companies filed a copyright infringement lawsuit against Cox. The plaintiffs allege that Cox’s practices of handling Digital Millennium Copyright Act notices resulted in willful copyright infringement with respect to thousands of songs. Plaintiffs are seeking monetary damages.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2019, a jury returned a verdict of $1.0 billion against Cox, and a finding of contributory infringement, vicarious infringement and willfulness. Following various post-trial motions, Cox appealed to the United States Court of Appeals for the Fourth Circuit. In addition to the merits appeal, Cox filed two Rule 60 motions in the trial court seeking relief from the verdict; those Rule 60 motions were heard and denied by the trial court in March 2022. Cox appealed the Rule 60 rulings to the Fourth Circuit, which held the Rule 60 appeal in abeyance until after the merits appeal. In February 2024, the Fourth Circuit affirmed the jury's finding of willful contributory infringement but reversed the jury's finding of vicarious liability and vacated the $1.0 billion judgment against Cox. Both parties' petitions for a rehearing en banc were denied by the Fourth Circuit. Cox also filed motions in the Fourth Circuit seeking partial appellate costs and an update regarding the Rule 60 appeal. Briefing concluded in the Rule 60 appeal in September 2024. Cox filed an unopposed motion to release the appeal bond, which was granted in May 2024. Cox’s motion for costs on the judgment bond was denied in August 2024. The trial proceeding has been stayed by the Fourth Circuit until the resolution of the Rule 60 appeal. The Fourth Circuit has not yet requested or scheduled oral argument on the Rule 60 appeal. In November 2024, in response to writs of certiorari filed by both parties, the United States Supreme Court called for the view of the United States Solicitor General. In May 2025, the United States Solicitor General submitted its brief amicus curiae recommending that Cox’s writ of certiorari be granted and Sony’s writ of certiorari be denied. In June 2025, the United States Supreme Court granted Cox’s writ of certiorari and denied Sony’s writ of certiorari. Cox’s opening brief was filed in August 2025. Oral argument was held in December 2025. The outcome of this matter cannot be predicted at this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TQ Delta —</w:t>
      </w:r>
      <w:r>
        <w:rPr>
          <w:rFonts w:ascii="Times New Roman;Times;Serif" w:hAnsi="Times New Roman;Times;Serif"/>
          <w:b w:val="false"/>
          <w:i w:val="false"/>
          <w:caps w:val="false"/>
          <w:smallCaps w:val="false"/>
          <w:sz w:val="20"/>
        </w:rPr>
        <w:t xml:space="preserve"> In July 2015, TQ Delta filed an action against Cox alleging patent infringement of eight patents related to the Multimedia over Coax Alliance standard, parts of which are alleged to be implemented in Whole Home DVR. The plaintiff voluntarily dropped two patents in response to the court’s requirement that the number of claims be reduced. Inter Partes Reviews ("IPRs") were filed against the remaining six patents. The Patent Trial and Appeal Board invalidated four of the patents during the IPR proceeding, but two patents survived on appeal to the United States Court of Appeal for the Federal Circuit. The parties have engaged in expert discovery and are awaiting rulings on claim construction and summary judgment. Trial is scheduled for October 2027. The outcome of this matter cannot be predicted at this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Entropic —</w:t>
      </w:r>
      <w:r>
        <w:rPr>
          <w:rFonts w:ascii="Times New Roman;Times;Serif" w:hAnsi="Times New Roman;Times;Serif"/>
          <w:b w:val="false"/>
          <w:i w:val="false"/>
          <w:caps w:val="false"/>
          <w:smallCaps w:val="false"/>
          <w:sz w:val="20"/>
        </w:rPr>
        <w:t xml:space="preserve"> In February 2023, Entropic Communications filed two separate actions against Cox alleging patent infringement. The first case was brought with twelve patents and was related to the Multimedia over Coax Alliance standard. The second case was brought with ten patents with allegations related to the DOCSIS ("Data Over Cable Service Interface Specification") and DOCSIS adjacent technologies. Through patent challenges brought both with the Court and the Patent Trial and Appeals Board ("PTAB"), sixteen patents were effectively invalidated. Entropic is in the process of appealing the rulings of invalidity issued by the U.S. Patent Office to the Federal Circuit. There has been no activity in these cases beyond Claim Construction hearings and no schedule has been set in either case. The outcome of this matter cannot be predicted at this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Other Patent Matters —</w:t>
      </w:r>
      <w:r>
        <w:rPr>
          <w:rFonts w:ascii="Times New Roman;Times;Serif" w:hAnsi="Times New Roman;Times;Serif"/>
          <w:b w:val="false"/>
          <w:i w:val="false"/>
          <w:caps w:val="false"/>
          <w:smallCaps w:val="false"/>
          <w:sz w:val="20"/>
        </w:rPr>
        <w:t xml:space="preserve"> Cox is a defendant or co-defendant in several lawsuits involving alleged infringement of various patents relating to various aspects of its businesses. In the event that a court ultimately determines that Cox infringes on any intellectual property rights, Cox may be subject to substantial damages and/or an injunction that could require Cox or its vendors to modify certain products and services Cox offers to its subscribers, as well as negotiate royalty or license agreements with respect to the patents at issue. While Cox intends to vigorously defend the actions, no assurance can be given that any adverse outcome would not be material to Cox's Consolidated Financial Statements. Cox cannot predict the outcome of any of these matters nor can it reasonably estimate a range of possible loss at this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Other Legal Proceedings</w:t>
      </w:r>
      <w:r>
        <w:rPr>
          <w:rFonts w:ascii="Times New Roman;Times;Serif" w:hAnsi="Times New Roman;Times;Serif"/>
          <w:b w:val="false"/>
          <w:i w:val="false"/>
          <w:caps w:val="false"/>
          <w:smallCaps w:val="false"/>
          <w:sz w:val="20"/>
        </w:rPr>
        <w:t xml:space="preserve"> — Cox and its subsidiaries are parties to various other legal proceedings that are ordinary and incidental to their businesses.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308" w:type="dxa"/>
        <w:jc w:val="left"/>
        <w:tblInd w:w="0" w:type="dxa"/>
        <w:tblLayout w:type="fixed"/>
        <w:tblCellMar>
          <w:top w:w="0" w:type="dxa"/>
          <w:left w:w="0" w:type="dxa"/>
          <w:bottom w:w="0" w:type="dxa"/>
          <w:right w:w="0" w:type="dxa"/>
        </w:tblCellMar>
      </w:tblPr>
      <w:tblGrid>
        <w:gridCol w:w="38"/>
        <w:gridCol w:w="275"/>
        <w:gridCol w:w="99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b/>
                <w:sz w:val="20"/>
              </w:rPr>
            </w:pPr>
            <w:r>
              <w:rPr>
                <w:b/>
                <w:sz w:val="20"/>
              </w:rPr>
              <w:t>11.</w:t>
            </w:r>
          </w:p>
        </w:tc>
        <w:tc>
          <w:tcPr>
            <w:tcW w:w="995" w:type="dxa"/>
            <w:tcBorders/>
            <w:vAlign w:val="center"/>
          </w:tcPr>
          <w:p>
            <w:pPr>
              <w:pStyle w:val="TableContents"/>
              <w:bidi w:val="0"/>
              <w:spacing w:before="0" w:after="283"/>
              <w:jc w:val="both"/>
              <w:rPr>
                <w:b/>
              </w:rPr>
            </w:pPr>
            <w:r>
              <w:rPr>
                <w:b/>
              </w:rPr>
              <w:t>EQUITY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2024 and 2023, there were 1,000 authorized shares of common stock, with a par value of one dollar, with 100 shares issued and outstanding. Holders of common stock are entitled to one vote per share and dividends are payable when and as declared.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December 31, 2025 and 2024, CEI, through wholly-owned subsidiaries, owned 100% of the outstanding shares of Cox's common stock. For the years ended December 31, 2025 and 2024, Cox paid dividends to its shareholder of </w:t>
      </w:r>
      <w:r>
        <w:rPr>
          <w:rFonts w:ascii="Times New Roman;Times;Serif" w:hAnsi="Times New Roman;Times;Serif"/>
          <w:b w:val="false"/>
          <w:i w:val="false"/>
          <w:caps w:val="false"/>
          <w:smallCaps w:val="false"/>
          <w:sz w:val="20"/>
          <w:shd w:fill="FFFFFF" w:val="clear"/>
        </w:rPr>
        <w:t>$1.0 billion.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Noncontrolling Interests ("NCI")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2023, Cox entered into a Securities Purchase Agreement with the NCI in Fiber Platform, LLC ("Fiber Platform") to purchase from various entities affiliated with UPN, a wholly-owned subsidiary of Fiber Platform, the common stock and Class A Units of Fiber Platform for $429 million. As a condition of closing, Cox also made tender offers to each management investor to purchase all of the remaining outstanding Class A Units for $87 million. Also as a condition of closing, tender offers were made to each holder of the Class B Units and Class B Participation Units, which were issued under long-term incentive compensation plans. The $429 million specified in the Securities Purchase Agreement and the payments made under the tender offers resulted in Cox purchasing all remaining interests in Fiber Platform for $608 million, effective June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Cox’s purchase of the NCI in Fiber Platform did not result in a change in Cox’s existing control of Fiber Platform, which resulted in no gain or loss recognition. Instead, the difference between the carrying value of the NCI and the consideration paid by Cox to acquire the NCI was recognized in additional paid-in capital, net of $98 million for deferred income taxes, within the Consolidated Statements of Changes in Equity. A portion of the tender offers described above that involved long-term incentive compensation plans resulted in accelerated vesting and compensation costs of $37 million, of which $13 million was capitalized and $24 million was expensed in 2023.</w:t>
      </w:r>
    </w:p>
    <w:p>
      <w:pPr>
        <w:pStyle w:val="TextBody"/>
        <w:bidi w:val="0"/>
        <w:spacing w:before="0" w:after="0"/>
        <w:ind w:left="0" w:right="0" w:hanging="0"/>
        <w:jc w:val="left"/>
        <w:rPr>
          <w:caps w:val="false"/>
          <w:smallCaps w:val="false"/>
        </w:rPr>
      </w:pPr>
      <w:r>
        <w:rPr>
          <w:caps w:val="false"/>
          <w:smallCaps w:val="false"/>
        </w:rPr>
        <w:t>  </w:t>
      </w:r>
    </w:p>
    <w:tbl>
      <w:tblPr>
        <w:tblW w:w="4038" w:type="dxa"/>
        <w:jc w:val="left"/>
        <w:tblInd w:w="0" w:type="dxa"/>
        <w:tblLayout w:type="fixed"/>
        <w:tblCellMar>
          <w:top w:w="0" w:type="dxa"/>
          <w:left w:w="0" w:type="dxa"/>
          <w:bottom w:w="0" w:type="dxa"/>
          <w:right w:w="0" w:type="dxa"/>
        </w:tblCellMar>
      </w:tblPr>
      <w:tblGrid>
        <w:gridCol w:w="38"/>
        <w:gridCol w:w="275"/>
        <w:gridCol w:w="372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b/>
                <w:sz w:val="20"/>
              </w:rPr>
            </w:pPr>
            <w:r>
              <w:rPr>
                <w:b/>
                <w:sz w:val="20"/>
              </w:rPr>
              <w:t>12.</w:t>
            </w:r>
          </w:p>
        </w:tc>
        <w:tc>
          <w:tcPr>
            <w:tcW w:w="3725" w:type="dxa"/>
            <w:tcBorders/>
            <w:vAlign w:val="center"/>
          </w:tcPr>
          <w:p>
            <w:pPr>
              <w:pStyle w:val="TableContents"/>
              <w:bidi w:val="0"/>
              <w:spacing w:before="0" w:after="283"/>
              <w:jc w:val="both"/>
              <w:rPr>
                <w:b/>
              </w:rPr>
            </w:pPr>
            <w:r>
              <w:rPr>
                <w:b/>
              </w:rPr>
              <w:t>FAIR VALUE MEASUREMENTS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measures certain financial assets and liabilities at fair value on a recurring basis and also measures certain nonfinancial assets at fair value on a nonrecurring basis. Fair value is defined as an exit price, representing the amount that would be received to sell an asset or paid to transfer a liability in an orderly transaction between market participants. Fair value is a market-based measurement that is determined based on assumptions that market participants would use in pricing an asset or liability as defined in the below fair value hierarchy: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Level 1 </w:t>
      </w:r>
      <w:r>
        <w:rPr>
          <w:rFonts w:ascii="Times New Roman;Times;Serif" w:hAnsi="Times New Roman;Times;Serif"/>
          <w:b w:val="false"/>
          <w:i w:val="false"/>
          <w:caps w:val="false"/>
          <w:smallCaps w:val="false"/>
          <w:sz w:val="20"/>
        </w:rPr>
        <w:t>— Observable inputs such as quoted prices in active markets;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0" w:right="0" w:hanging="108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Level 2 </w:t>
      </w:r>
      <w:r>
        <w:rPr>
          <w:rFonts w:ascii="Times New Roman;Times;Serif" w:hAnsi="Times New Roman;Times;Serif"/>
          <w:b w:val="false"/>
          <w:i w:val="false"/>
          <w:caps w:val="false"/>
          <w:smallCaps w:val="false"/>
          <w:sz w:val="20"/>
        </w:rPr>
        <w:t>— Inputs, other than quoted prices in active markets, that are observable either directly or indirectly;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0" w:right="0" w:hanging="108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Level 3 </w:t>
      </w:r>
      <w:r>
        <w:rPr>
          <w:rFonts w:ascii="Times New Roman;Times;Serif" w:hAnsi="Times New Roman;Times;Serif"/>
          <w:b w:val="false"/>
          <w:i w:val="false"/>
          <w:caps w:val="false"/>
          <w:smallCaps w:val="false"/>
          <w:sz w:val="20"/>
        </w:rPr>
        <w:t>— Unobservable inputs in which there is little or no market data, which require an entity to develop its own assumptions.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Recurring Fair Value Measurements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Cash Equivalents — </w:t>
      </w:r>
      <w:r>
        <w:rPr>
          <w:rFonts w:ascii="Times New Roman;Times;Serif" w:hAnsi="Times New Roman;Times;Serif"/>
          <w:b w:val="false"/>
          <w:i w:val="false"/>
          <w:caps w:val="false"/>
          <w:smallCaps w:val="false"/>
          <w:sz w:val="20"/>
        </w:rPr>
        <w:t>Cox's cash equivalents are measured at fair value on a recurring basis and generally consist of money market funds, time deposits and commercial paper. The fair values of Cox's cash equivalents fall within Level 1 of the fair value hierarchy and are based on a market approach using quoted prices and other relevant information generated by market transactions involving identical or comparable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Debt — </w:t>
      </w:r>
      <w:r>
        <w:rPr>
          <w:rFonts w:ascii="Times New Roman;Times;Serif" w:hAnsi="Times New Roman;Times;Serif"/>
          <w:b w:val="false"/>
          <w:i w:val="false"/>
          <w:caps w:val="false"/>
          <w:smallCaps w:val="false"/>
          <w:sz w:val="20"/>
        </w:rPr>
        <w:t>Cox's notes and debentures as of December 31, 2025 and 2024 is based on inputs other than quoted prices in active markets, that are observable either directly or indirectly and is classified within Level 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Other Financial Instruments</w:t>
      </w:r>
      <w:r>
        <w:rPr>
          <w:rFonts w:ascii="Times New Roman;Times;Serif" w:hAnsi="Times New Roman;Times;Serif"/>
          <w:b w:val="false"/>
          <w:i w:val="false"/>
          <w:caps w:val="false"/>
          <w:smallCaps w:val="false"/>
          <w:sz w:val="20"/>
        </w:rPr>
        <w:t xml:space="preserve"> — The carrying amounts of the Cox’s accounts receivable, accounts payable and other current assets and liabilities approximate fair value due to their short-term maturities and/or nature of these instruments.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Non-Recurring Fair Value Measurements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Cox's nonfinancial assets (such as property and equipment, goodwill and intangible assets), equity method investments and nonmarketable equity securities are not measured at fair value on a recurring basis; however, they are subject to fair value adjustments in certain circumstances, such as when there is evidence that an impairment may exist. Inputs used in these fair value measurements are often unobservable and may require judgment, which could affect the ascribed fair values.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performed a quantitative impairment test of its cable franchise value and trade name as of December 31, 2025 and 2024. The fair value of cable franchise value was determined using an excess earnings method. The excess earnings analysis incorporates estimates and forward-looking projections, including significant inputs such as revenue growth rates, margins, return on debt-free working capital, contributory asset returns and the discount rate. As a result, Cox recorded an impairment to intangible assets for the year ended December 31, 2025 of $5.6 billion. The fair value of the intangible assets falls within Level 3 of the fair value hierarchy.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Cox identified impairment indicators related to a debt security in 2025 and certain nonmarketable equity securities in 2024 and 2023. As a result, Cox estimated the fair values of these investments and recorded impairments to investment expense — net of $43 million, $50 million and $137 million for the years ended December 2025, 2024 and 2023, respectively. The fair value of the equity securities fall within Level 3 of the fair value hierarchy.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acquired a controlling financial interest in Logicworks during 2023. The acquisition value ascribed to the entity was based on arms-length negotiations, which were estimated using discounted cash flow models. The fair value of assets acquired and liabilities assumed were determined using the cost, income and market approaches, including market participant assumptions. In the case of trade name and developed technology acquired, Cox estimated fair value using the relief-from-royalty method, which assumes that value is provided to the extent the acquirer is relieved of the obligations to pay royalties for the benefits received from the technology and the trade name. This method required estimations of future revenues for the technology and brand, the appropriate royalty rates and the weighted-average cost of capital. The fair value for customer relationships was determined as of the acquisition date using the excess earnings method. Under this methodology, fair value is determined based on the estimated future after-tax cash flows arising from the acquired customer relationships over the estimated useful lives after considering customer attrition and contributory asset charges. Goodwill represents the difference between the acquisition value and fair values ascribed to the entities’ net assets, inclusive of these identified assets. All of these fair value estimates fall within Level 3 of the fair value hierarchy.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9138" w:type="dxa"/>
        <w:jc w:val="left"/>
        <w:tblInd w:w="0" w:type="dxa"/>
        <w:tblLayout w:type="fixed"/>
        <w:tblCellMar>
          <w:top w:w="0" w:type="dxa"/>
          <w:left w:w="0" w:type="dxa"/>
          <w:bottom w:w="0" w:type="dxa"/>
          <w:right w:w="0" w:type="dxa"/>
        </w:tblCellMar>
      </w:tblPr>
      <w:tblGrid>
        <w:gridCol w:w="38"/>
        <w:gridCol w:w="275"/>
        <w:gridCol w:w="882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b/>
                <w:sz w:val="20"/>
              </w:rPr>
            </w:pPr>
            <w:r>
              <w:rPr>
                <w:b/>
                <w:sz w:val="20"/>
              </w:rPr>
              <w:t>13.</w:t>
            </w:r>
          </w:p>
        </w:tc>
        <w:tc>
          <w:tcPr>
            <w:tcW w:w="8825" w:type="dxa"/>
            <w:tcBorders/>
            <w:vAlign w:val="center"/>
          </w:tcPr>
          <w:p>
            <w:pPr>
              <w:pStyle w:val="TableContents"/>
              <w:bidi w:val="0"/>
              <w:spacing w:before="0" w:after="283"/>
              <w:jc w:val="both"/>
              <w:rPr>
                <w:b/>
              </w:rPr>
            </w:pPr>
            <w:r>
              <w:rPr>
                <w:b/>
              </w:rPr>
              <w:t>TRANSACTIONS WITH AFFILIATED COMPANIES AND RELATED PARTIES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all periods presented in the Consolidated Financial Statements, related party transactions and activities between Cox and CEI, other CEI subsidiaries and other related parties may not have been consummated on terms equivalent to those that would prevail in an arm’s-length transaction where conditions of competitive, free-market dealing may exist.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Allocated Expenses from CEI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Allocated expenses as shown in the table below are directly calculated or based on CEI's estimate of services provided to Cox in relation to those provided to other CEI subsidiaries. Cox believes that these allocations were made on a reasonable basis. However, the allocations are not necessarily indicative of the level of expenses that might have been incurred had Cox contracted directly with third parties.</w:t>
      </w:r>
    </w:p>
    <w:p>
      <w:pPr>
        <w:pStyle w:val="TextBody"/>
        <w:bidi w:val="0"/>
        <w:spacing w:before="0" w:after="0"/>
        <w:ind w:left="0" w:right="0" w:hanging="0"/>
        <w:jc w:val="left"/>
        <w:rPr>
          <w:caps w:val="false"/>
          <w:smallCaps w:val="false"/>
        </w:rPr>
      </w:pPr>
      <w:r>
        <w:rPr>
          <w:caps w:val="false"/>
          <w:smallCaps w:val="false"/>
        </w:rPr>
        <w:t> </w:t>
      </w:r>
    </w:p>
    <w:tbl>
      <w:tblPr>
        <w:tblW w:w="6321" w:type="dxa"/>
        <w:jc w:val="left"/>
        <w:tblInd w:w="0" w:type="dxa"/>
        <w:tblLayout w:type="fixed"/>
        <w:tblCellMar>
          <w:top w:w="0" w:type="dxa"/>
          <w:left w:w="0" w:type="dxa"/>
          <w:bottom w:w="0" w:type="dxa"/>
          <w:right w:w="0" w:type="dxa"/>
        </w:tblCellMar>
      </w:tblPr>
      <w:tblGrid>
        <w:gridCol w:w="3890"/>
        <w:gridCol w:w="60"/>
        <w:gridCol w:w="177"/>
        <w:gridCol w:w="475"/>
        <w:gridCol w:w="85"/>
        <w:gridCol w:w="85"/>
        <w:gridCol w:w="177"/>
        <w:gridCol w:w="475"/>
        <w:gridCol w:w="85"/>
        <w:gridCol w:w="85"/>
        <w:gridCol w:w="177"/>
        <w:gridCol w:w="475"/>
        <w:gridCol w:w="75"/>
      </w:tblGrid>
      <w:tr>
        <w:trPr/>
        <w:tc>
          <w:tcPr>
            <w:tcW w:w="38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296"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Years Ended December 31,</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89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million)</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52"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85" w:type="dxa"/>
            <w:tcBorders/>
            <w:vAlign w:val="center"/>
          </w:tcPr>
          <w:p>
            <w:pPr>
              <w:pStyle w:val="TableContents"/>
              <w:bidi w:val="0"/>
              <w:spacing w:before="0" w:after="283"/>
              <w:jc w:val="left"/>
              <w:rPr>
                <w:caps w:val="false"/>
                <w:smallCaps w:val="false"/>
              </w:rPr>
            </w:pPr>
            <w:r>
              <w:rPr>
                <w:caps w:val="false"/>
                <w:smallCaps w:val="false"/>
              </w:rPr>
              <w:t> </w:t>
            </w:r>
          </w:p>
        </w:tc>
        <w:tc>
          <w:tcPr>
            <w:tcW w:w="85" w:type="dxa"/>
            <w:tcBorders/>
            <w:vAlign w:val="center"/>
          </w:tcPr>
          <w:p>
            <w:pPr>
              <w:pStyle w:val="TableContents"/>
              <w:bidi w:val="0"/>
              <w:spacing w:before="0" w:after="283"/>
              <w:jc w:val="left"/>
              <w:rPr>
                <w:caps w:val="false"/>
                <w:smallCaps w:val="false"/>
              </w:rPr>
            </w:pPr>
            <w:r>
              <w:rPr>
                <w:caps w:val="false"/>
                <w:smallCaps w:val="false"/>
              </w:rPr>
              <w:t> </w:t>
            </w:r>
          </w:p>
        </w:tc>
        <w:tc>
          <w:tcPr>
            <w:tcW w:w="652"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85" w:type="dxa"/>
            <w:tcBorders/>
            <w:vAlign w:val="center"/>
          </w:tcPr>
          <w:p>
            <w:pPr>
              <w:pStyle w:val="TableContents"/>
              <w:bidi w:val="0"/>
              <w:spacing w:before="0" w:after="283"/>
              <w:jc w:val="left"/>
              <w:rPr>
                <w:caps w:val="false"/>
                <w:smallCaps w:val="false"/>
              </w:rPr>
            </w:pPr>
            <w:r>
              <w:rPr>
                <w:caps w:val="false"/>
                <w:smallCaps w:val="false"/>
              </w:rPr>
              <w:t> </w:t>
            </w:r>
          </w:p>
        </w:tc>
        <w:tc>
          <w:tcPr>
            <w:tcW w:w="85" w:type="dxa"/>
            <w:tcBorders/>
            <w:vAlign w:val="center"/>
          </w:tcPr>
          <w:p>
            <w:pPr>
              <w:pStyle w:val="TableContents"/>
              <w:bidi w:val="0"/>
              <w:spacing w:before="0" w:after="283"/>
              <w:jc w:val="left"/>
              <w:rPr>
                <w:caps w:val="false"/>
                <w:smallCaps w:val="false"/>
              </w:rPr>
            </w:pPr>
            <w:r>
              <w:rPr>
                <w:caps w:val="false"/>
                <w:smallCaps w:val="false"/>
              </w:rPr>
              <w:t> </w:t>
            </w:r>
          </w:p>
        </w:tc>
        <w:tc>
          <w:tcPr>
            <w:tcW w:w="652"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2023</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890" w:type="dxa"/>
            <w:tcBorders/>
            <w:shd w:fill="CCEE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Employee Benefits Plans</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475" w:type="dxa"/>
            <w:tcBorders/>
            <w:shd w:fill="CCEEFF" w:val="clear"/>
            <w:vAlign w:val="center"/>
          </w:tcPr>
          <w:p>
            <w:pPr>
              <w:pStyle w:val="TableContents"/>
              <w:bidi w:val="0"/>
              <w:spacing w:before="0" w:after="283"/>
              <w:jc w:val="right"/>
              <w:rPr/>
            </w:pPr>
            <w:r>
              <w:rPr/>
              <w:t> </w:t>
            </w:r>
          </w:p>
        </w:tc>
        <w:tc>
          <w:tcPr>
            <w:tcW w:w="85"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475" w:type="dxa"/>
            <w:tcBorders/>
            <w:shd w:fill="CCEEFF" w:val="clear"/>
            <w:vAlign w:val="center"/>
          </w:tcPr>
          <w:p>
            <w:pPr>
              <w:pStyle w:val="TableContents"/>
              <w:bidi w:val="0"/>
              <w:spacing w:before="0" w:after="283"/>
              <w:jc w:val="right"/>
              <w:rPr/>
            </w:pPr>
            <w:r>
              <w:rPr/>
              <w:t> </w:t>
            </w:r>
          </w:p>
        </w:tc>
        <w:tc>
          <w:tcPr>
            <w:tcW w:w="85"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47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8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Healthcare and other employee benefits</w:t>
              <w:tab/>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7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271</w:t>
            </w:r>
          </w:p>
        </w:tc>
        <w:tc>
          <w:tcPr>
            <w:tcW w:w="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7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255</w:t>
            </w:r>
          </w:p>
        </w:tc>
        <w:tc>
          <w:tcPr>
            <w:tcW w:w="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7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244</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8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Qualified and nonqualified pension </w:t>
            </w:r>
            <w:r>
              <w:rPr>
                <w:rFonts w:ascii="Times New Roman;Times;Serif" w:hAnsi="Times New Roman;Times;Serif"/>
                <w:b w:val="false"/>
                <w:i w:val="false"/>
                <w:caps w:val="false"/>
                <w:smallCaps w:val="false"/>
                <w:position w:val="7"/>
                <w:sz w:val="16"/>
                <w:sz w:val="20"/>
              </w:rPr>
              <w:t>(a)</w:t>
            </w:r>
            <w:r>
              <w:rPr>
                <w:rFonts w:ascii="Times New Roman;Times;Serif" w:hAnsi="Times New Roman;Times;Serif"/>
                <w:b w:val="false"/>
                <w:i w:val="false"/>
                <w:caps w:val="false"/>
                <w:smallCaps w:val="false"/>
                <w:sz w:val="20"/>
              </w:rPr>
              <w:tab/>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7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w:t>
            </w:r>
          </w:p>
        </w:tc>
        <w:tc>
          <w:tcPr>
            <w:tcW w:w="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7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w:t>
            </w:r>
          </w:p>
        </w:tc>
        <w:tc>
          <w:tcPr>
            <w:tcW w:w="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7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8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401(k) Plan</w:t>
              <w:tab/>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7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w:t>
            </w:r>
          </w:p>
        </w:tc>
        <w:tc>
          <w:tcPr>
            <w:tcW w:w="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7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w:t>
            </w:r>
          </w:p>
        </w:tc>
        <w:tc>
          <w:tcPr>
            <w:tcW w:w="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7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8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Postemployment and postretirement benefits </w:t>
            </w:r>
            <w:r>
              <w:rPr>
                <w:rFonts w:ascii="Times New Roman;Times;Serif" w:hAnsi="Times New Roman;Times;Serif"/>
                <w:b w:val="false"/>
                <w:i w:val="false"/>
                <w:caps w:val="false"/>
                <w:smallCaps w:val="false"/>
                <w:position w:val="7"/>
                <w:sz w:val="16"/>
                <w:sz w:val="20"/>
              </w:rPr>
              <w:t>(a)</w:t>
            </w:r>
            <w:r>
              <w:rPr>
                <w:rFonts w:ascii="Times New Roman;Times;Serif" w:hAnsi="Times New Roman;Times;Serif"/>
                <w:b w:val="false"/>
                <w:i w:val="false"/>
                <w:caps w:val="false"/>
                <w:smallCaps w:val="false"/>
                <w:sz w:val="20"/>
              </w:rPr>
              <w:tab/>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7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c>
          <w:tcPr>
            <w:tcW w:w="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7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c>
          <w:tcPr>
            <w:tcW w:w="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7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8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Long-term incentive compensation</w:t>
              <w:tab/>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7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164</w:t>
            </w:r>
          </w:p>
        </w:tc>
        <w:tc>
          <w:tcPr>
            <w:tcW w:w="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7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142</w:t>
            </w:r>
          </w:p>
        </w:tc>
        <w:tc>
          <w:tcPr>
            <w:tcW w:w="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7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890" w:type="dxa"/>
            <w:tcBorders/>
            <w:shd w:fill="CCEE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Other Allocated Expenses </w:t>
            </w:r>
            <w:r>
              <w:rPr>
                <w:rFonts w:ascii="Times New Roman;Times;Serif" w:hAnsi="Times New Roman;Times;Serif"/>
                <w:b w:val="false"/>
                <w:i/>
                <w:caps w:val="false"/>
                <w:smallCaps w:val="false"/>
                <w:position w:val="7"/>
                <w:sz w:val="16"/>
                <w:sz w:val="20"/>
              </w:rPr>
              <w:t>(b)</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475" w:type="dxa"/>
            <w:tcBorders/>
            <w:shd w:fill="CCEEFF" w:val="clear"/>
            <w:vAlign w:val="center"/>
          </w:tcPr>
          <w:p>
            <w:pPr>
              <w:pStyle w:val="TableContents"/>
              <w:bidi w:val="0"/>
              <w:spacing w:before="0" w:after="283"/>
              <w:jc w:val="right"/>
              <w:rPr/>
            </w:pPr>
            <w:r>
              <w:rPr/>
              <w:t> </w:t>
            </w:r>
          </w:p>
        </w:tc>
        <w:tc>
          <w:tcPr>
            <w:tcW w:w="85"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475" w:type="dxa"/>
            <w:tcBorders/>
            <w:shd w:fill="CCEEFF" w:val="clear"/>
            <w:vAlign w:val="center"/>
          </w:tcPr>
          <w:p>
            <w:pPr>
              <w:pStyle w:val="TableContents"/>
              <w:bidi w:val="0"/>
              <w:spacing w:before="0" w:after="283"/>
              <w:jc w:val="right"/>
              <w:rPr/>
            </w:pPr>
            <w:r>
              <w:rPr/>
              <w:t> </w:t>
            </w:r>
          </w:p>
        </w:tc>
        <w:tc>
          <w:tcPr>
            <w:tcW w:w="85"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47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8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services</w:t>
              <w:tab/>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7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258</w:t>
            </w:r>
          </w:p>
        </w:tc>
        <w:tc>
          <w:tcPr>
            <w:tcW w:w="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7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278</w:t>
            </w:r>
          </w:p>
        </w:tc>
        <w:tc>
          <w:tcPr>
            <w:tcW w:w="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7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236</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8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Occupancy-related services</w:t>
              <w:tab/>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7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w:t>
            </w:r>
          </w:p>
        </w:tc>
        <w:tc>
          <w:tcPr>
            <w:tcW w:w="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7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w:t>
            </w:r>
          </w:p>
        </w:tc>
        <w:tc>
          <w:tcPr>
            <w:tcW w:w="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7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0"/>
        <w:gridCol w:w="9987"/>
      </w:tblGrid>
      <w:tr>
        <w:trPr/>
        <w:tc>
          <w:tcPr>
            <w:tcW w:w="38"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position w:val="8"/>
                <w:sz w:val="19"/>
              </w:rPr>
            </w:pPr>
            <w:r>
              <w:rPr>
                <w:position w:val="8"/>
                <w:sz w:val="19"/>
              </w:rPr>
              <w:t>(a)</w:t>
            </w:r>
          </w:p>
        </w:tc>
        <w:tc>
          <w:tcPr>
            <w:tcW w:w="9987" w:type="dxa"/>
            <w:tcBorders/>
            <w:vAlign w:val="center"/>
          </w:tcPr>
          <w:p>
            <w:pPr>
              <w:pStyle w:val="TableContents"/>
              <w:bidi w:val="0"/>
              <w:spacing w:before="0" w:after="283"/>
              <w:jc w:val="both"/>
              <w:rPr/>
            </w:pPr>
            <w:r>
              <w:rPr/>
              <w:t xml:space="preserve">The service cost component related to Cox’s qualified and nonqualified pension plans and postretirement benefits is recorded to operating costs and expenses on the Consolidated Statements of Operations. The non-service cost component, which includes interest cost, expected return on plan assets, prior service cost amortization and actuarial loss amortization, is recorded to miscellaneous </w:t>
            </w:r>
            <w:r>
              <w:rPr>
                <w:shd w:fill="FFFFFF" w:val="clear"/>
              </w:rPr>
              <w:t xml:space="preserve">income </w:t>
            </w:r>
            <w:r>
              <w:rPr/>
              <w:t xml:space="preserve">— net on the Consolidated Statements of Operations </w:t>
            </w:r>
            <w:r>
              <w:rPr>
                <w:shd w:fill="FFFFFF" w:val="clear"/>
              </w:rPr>
              <w:t>and totaled</w:t>
            </w:r>
            <w:r>
              <w:rPr/>
              <w:t xml:space="preserve"> $16 million, $2</w:t>
            </w:r>
            <w:r>
              <w:rPr>
                <w:shd w:fill="FFFFFF" w:val="clear"/>
              </w:rPr>
              <w:t xml:space="preserve">6 million and $33 million for the years ended </w:t>
            </w:r>
            <w:r>
              <w:rPr/>
              <w:t>December 31, 2025</w:t>
            </w:r>
            <w:r>
              <w:rPr>
                <w:shd w:fill="FFFFFF" w:val="clear"/>
              </w:rPr>
              <w:t xml:space="preserve">, </w:t>
            </w:r>
            <w:r>
              <w:rPr/>
              <w:t xml:space="preserve">2024 </w:t>
            </w:r>
            <w:r>
              <w:rPr>
                <w:shd w:fill="FFFFFF" w:val="clear"/>
              </w:rPr>
              <w:t xml:space="preserve">and </w:t>
            </w:r>
            <w:r>
              <w:rPr/>
              <w:t>2023</w:t>
            </w:r>
            <w:r>
              <w:rPr>
                <w:shd w:fill="FFFFFF" w:val="clear"/>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3"/>
        <w:gridCol w:w="9964"/>
      </w:tblGrid>
      <w:tr>
        <w:trPr/>
        <w:tc>
          <w:tcPr>
            <w:tcW w:w="38"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position w:val="8"/>
                <w:sz w:val="19"/>
                <w:shd w:fill="FFFFFF" w:val="clear"/>
              </w:rPr>
            </w:pPr>
            <w:r>
              <w:rPr>
                <w:position w:val="8"/>
                <w:sz w:val="19"/>
                <w:shd w:fill="FFFFFF" w:val="clear"/>
              </w:rPr>
              <w:t>(b)</w:t>
            </w:r>
          </w:p>
        </w:tc>
        <w:tc>
          <w:tcPr>
            <w:tcW w:w="9964" w:type="dxa"/>
            <w:tcBorders/>
            <w:vAlign w:val="center"/>
          </w:tcPr>
          <w:p>
            <w:pPr>
              <w:pStyle w:val="TableContents"/>
              <w:bidi w:val="0"/>
              <w:spacing w:before="0" w:after="283"/>
              <w:jc w:val="both"/>
              <w:rPr/>
            </w:pPr>
            <w:r>
              <w:rPr/>
              <w:t>Cox receives certain management (e.g., legal, corporate secretarial, tax, cash management, treasury, internal audit, risk management, employee benefit administration and other support services) and occupancy-related (e.g., repairs and maintenance, utilities, insurance and property taxes) services from CEI.</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Healthcare and Other Employee Benefits</w:t>
      </w:r>
      <w:r>
        <w:rPr>
          <w:rFonts w:ascii="Times New Roman;Times;Serif" w:hAnsi="Times New Roman;Times;Serif"/>
          <w:b w:val="false"/>
          <w:i w:val="false"/>
          <w:caps w:val="false"/>
          <w:smallCaps w:val="false"/>
          <w:sz w:val="20"/>
        </w:rPr>
        <w:t xml:space="preserve"> — Certain of Cox's employees participate in CEI and other company sponsored employee benefit plans, including medical, dental, vision, life and long-term disability insurance plans. Eligibility requirements vary depending on the plan, but are generally available to full-time employees and, depending on the plan, their dependents.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Qualified and Nonqualified Pension </w:t>
      </w:r>
      <w:r>
        <w:rPr>
          <w:rFonts w:ascii="Times New Roman;Times;Serif" w:hAnsi="Times New Roman;Times;Serif"/>
          <w:b w:val="false"/>
          <w:i w:val="false"/>
          <w:caps w:val="false"/>
          <w:smallCaps w:val="false"/>
          <w:sz w:val="20"/>
        </w:rPr>
        <w:t>— Certain full-time employees of Cox are eligible to participate in CEI's funded, qualified, defined-benefit pension plan. Certain key employees also participate in CEI's unfunded, nonqualified, supplemental pension plan. These plans call for benefits to be paid to eligible employees at retirement based primarily upon years of service with CEI and Cox and compensation rates near retirement. Under the pension plans, CEI allocates pension expense to Cox generally based on the actuarial determinations of the effects of Cox's employees' participation in the plans. Annual expenses may be volatile, largely as a result of economic factors, including volatility in discount rates and investment returns, as well as changes in laws, regulations and assumptions used to calculate pension expense.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401(k) Plan</w:t>
      </w:r>
      <w:r>
        <w:rPr>
          <w:rFonts w:ascii="Times New Roman;Times;Serif" w:hAnsi="Times New Roman;Times;Serif"/>
          <w:b w:val="false"/>
          <w:i w:val="false"/>
          <w:caps w:val="false"/>
          <w:smallCaps w:val="false"/>
          <w:sz w:val="20"/>
        </w:rPr>
        <w:t xml:space="preserve"> — In February 2017, CEI announced that it will no longer offer participation in both its pension or postretirement healthcare plans to Cox employees who join or are rehired with Cox after March 2017. Such employees will instead be offered an enhanced match in the 401(k) Plan, consisting of a 100% match of contributions up to 6% of eligible compensation, plus an annual contribution of 2% of eligible compensation, which vests on the third anniversary of employment. Employees hired prior to April 1, 2017 will continue to participate and accrue benefits under the existing pension and postretirement healthcare plans and will also continue to receive a 50% match on contributions up to 6% of eligible compensation under the 401(k)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Postemployment and Postretirement Benefit Plans </w:t>
      </w:r>
      <w:r>
        <w:rPr>
          <w:rFonts w:ascii="Times New Roman;Times;Serif" w:hAnsi="Times New Roman;Times;Serif"/>
          <w:b w:val="false"/>
          <w:i w:val="false"/>
          <w:caps w:val="false"/>
          <w:smallCaps w:val="false"/>
          <w:sz w:val="20"/>
        </w:rPr>
        <w:t>— Cox also provides certain postemployment benefits and postretirement healthcare and life insurance benefits to certain employees through participation in CEI's postemployment and retiree healthcare plans. Under these plans, CEI allocates postemployment and postretirement expense to Cox generally based on the actuarial determinations of the effects of Cox's employees' participation in the plans.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Long-Term Incentive Compensation</w:t>
      </w:r>
      <w:r>
        <w:rPr>
          <w:rFonts w:ascii="Times New Roman;Times;Serif" w:hAnsi="Times New Roman;Times;Serif"/>
          <w:b w:val="false"/>
          <w:i w:val="false"/>
          <w:caps w:val="false"/>
          <w:smallCaps w:val="false"/>
          <w:sz w:val="20"/>
        </w:rPr>
        <w:t xml:space="preserve"> — Cox offers eligible executives and key employees the opportunity to participate in the CEI Long-Term Incentive Plan ("LTIP"), which provides for the payment of benefits in the form of cash. CEI plan awards are typically granted annually. Awards granted under the LTIP are three-year awards and vest 100% on the third anniversary of the grant date. Compensation expense for the plan awards is allocated to Cox by CEI based on the accelerated vesting model and expectations about meeting CEI revenue, profitability and/or cash flow targets.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Amounts due from Cox Enterprises,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receives day-to-day cash management services from CEI, with settlements of outstanding balances between Cox and CEI occurring periodically. The amounts due from CEI are due on demand and represent the net balance of the intercompany transactions. The interest rate is based on CEI's internal borrowing rate, generally determined from CEI's rates under the Credit Facility, which ranged from 3.94% to 4.45% in 2025, 4.62% to 5.45% in 2024 and 5.18% to 6.44% in 2023. CEI adopted SOFR rates as of July 2023 and used LIBOR rates in prior periods. The associated interest income was $188 million, $209 million and $97 million for the years ended December 31, 2025, 2024 and 2023,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Other Related Party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CEI purchases insurance for a fixed premium cost from several insurance companies, including an insurance company indirectly owned by descendants of Governor James M. Cox, the founder of CEI, which was subsequently acquired by CEI in December 2024. These related party insurance companies are insurers and reinsurers on various insurance policies purchased by CEI and employ a consulting actuary to calculate the annual premiums for general, auto and workers' compensation and property liability insurance based on CEI's loss experience, consistent with insurance industry practice. Cox's portion of these insurance costs totaled $64 million, $74 million and $76 million for the years ended December 31, 2025, 2024 and 2023,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pays fees to certain entities in which it has a minority ownership interest in exchange for cable programming. Programming fees related to such affiliates were $34 million, $39 million and $37 million for the years ended December 31, 2025, 2024 and 2023,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receives advertising revenue from, and pays commissions to, National Cable Communications LLC (rebranded as Ampersand), an entity in which it has a minority ownership interest. Revenues related to Ampersand were $54 million, $130 million and $68 million for the years ended December 31, 2025, 2024 and 2023, respectively. Commissions expenses paid to Ampersand were $7 million, $17 million and $9 million for the years ended December 31, 2025, 2024 and 2023,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CTech Lease </w:t>
      </w:r>
      <w:r>
        <w:rPr>
          <w:rFonts w:ascii="Times New Roman;Times;Serif" w:hAnsi="Times New Roman;Times;Serif"/>
          <w:b w:val="false"/>
          <w:i w:val="false"/>
          <w:caps w:val="false"/>
          <w:smallCaps w:val="false"/>
          <w:sz w:val="20"/>
        </w:rPr>
        <w:t>— In December 2010, Cox entered into a finance lease agreement with CTech Holdings, LLC ("CTech") for two new buildings at the CEI headquarters campus in Atlanta, Georgia. The properties serve as the primary operations of Cox's technology organization. The term of the finance lease is from June 2012 through January 2038.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Cox Headquarters Lease </w:t>
      </w:r>
      <w:r>
        <w:rPr>
          <w:rFonts w:ascii="Times New Roman;Times;Serif" w:hAnsi="Times New Roman;Times;Serif"/>
          <w:b w:val="false"/>
          <w:i w:val="false"/>
          <w:caps w:val="false"/>
          <w:smallCaps w:val="false"/>
          <w:sz w:val="20"/>
        </w:rPr>
        <w:t>— In October 2013, Cox entered into a 25-year financing agreement with JMC-T2, LLC ("T2") for an office tower on the CEI headquarters campus in Atlanta, Georgia. The property serves as the corporate headquarters of Cox. Cox guaranteed the payments associated with the construction debt. The term of the agreement is from February 2015 through February 2040.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related party commitments, included within Cox's finance lease liabilities, as of December 31, 2025 are estimated to be as follows:</w:t>
      </w:r>
    </w:p>
    <w:p>
      <w:pPr>
        <w:pStyle w:val="TextBody"/>
        <w:bidi w:val="0"/>
        <w:spacing w:before="0" w:after="0"/>
        <w:ind w:left="0" w:right="0" w:hanging="0"/>
        <w:jc w:val="left"/>
        <w:rPr>
          <w:caps w:val="false"/>
          <w:smallCaps w:val="false"/>
        </w:rPr>
      </w:pPr>
      <w:r>
        <w:rPr>
          <w:caps w:val="false"/>
          <w:smallCaps w:val="false"/>
        </w:rPr>
        <w:t> </w:t>
      </w:r>
    </w:p>
    <w:tbl>
      <w:tblPr>
        <w:tblW w:w="3988" w:type="dxa"/>
        <w:jc w:val="left"/>
        <w:tblInd w:w="0" w:type="dxa"/>
        <w:tblLayout w:type="fixed"/>
        <w:tblCellMar>
          <w:top w:w="0" w:type="dxa"/>
          <w:left w:w="0" w:type="dxa"/>
          <w:bottom w:w="28" w:type="dxa"/>
          <w:right w:w="0" w:type="dxa"/>
        </w:tblCellMar>
      </w:tblPr>
      <w:tblGrid>
        <w:gridCol w:w="1040"/>
        <w:gridCol w:w="60"/>
        <w:gridCol w:w="302"/>
        <w:gridCol w:w="812"/>
        <w:gridCol w:w="60"/>
        <w:gridCol w:w="60"/>
        <w:gridCol w:w="428"/>
        <w:gridCol w:w="1151"/>
        <w:gridCol w:w="75"/>
      </w:tblGrid>
      <w:tr>
        <w:trPr/>
        <w:tc>
          <w:tcPr>
            <w:tcW w:w="1040"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millions)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14"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CTech Lease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79"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Cox Headquarters</w:t>
              <w:br/>
              <w:t>Lease</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04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2026</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02"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12"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28"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51"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04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2027</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02"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12"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28"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51"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04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2028</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02"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12"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28"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51"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04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2029</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02"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12"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28"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51"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04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2030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02"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12"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28"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51"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04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Thereafter</w:t>
              <w:tab/>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02"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12"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232</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28"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51"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275</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various other related party activities between Cox and related parties that individually, and in the aggregate, are not material to Cox's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April 2025 and October 2024, Cox contributed $75 million and $45 million, respectively, to the James M. Cox Foundation for the benefit of biodiversity initiatives aimed at protecting critical species and their habitats.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-34-</w:t>
      </w:r>
    </w:p>
    <w:p>
      <w:pPr>
        <w:pStyle w:val="TextBody"/>
        <w:bidi w:val="0"/>
        <w:ind w:left="0" w:right="0" w:hanging="0"/>
        <w:jc w:val="left"/>
        <w:rPr/>
      </w:pPr>
      <w:bookmarkStart w:id="64" w:name="tm2621145d1_ex99-3.htm"/>
      <w:bookmarkStart w:id="65" w:name="kstm2621145d1_ex993"/>
      <w:bookmarkEnd w:id="64"/>
      <w:bookmarkEnd w:id="65"/>
      <w:r>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COX COMMUNICATIONS,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Wholly-Owned Subsidiary of Cox Enterprises,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tbl>
      <w:tblPr>
        <w:tblW w:w="90" w:type="dxa"/>
        <w:jc w:val="left"/>
        <w:tblInd w:w="0" w:type="dxa"/>
        <w:tblLayout w:type="fixed"/>
        <w:tblCellMar>
          <w:top w:w="0" w:type="dxa"/>
          <w:left w:w="0" w:type="dxa"/>
          <w:bottom w:w="28" w:type="dxa"/>
          <w:right w:w="0" w:type="dxa"/>
        </w:tblCellMar>
      </w:tblPr>
      <w:tblGrid>
        <w:gridCol w:w="90"/>
      </w:tblGrid>
      <w:tr>
        <w:trPr/>
        <w:tc>
          <w:tcPr>
            <w:tcW w:w="90" w:type="dxa"/>
            <w:tcBorders>
              <w:bottom w:val="single" w:sz="8" w:space="0" w:color="000000"/>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750"/>
        <w:gridCol w:w="455"/>
      </w:tblGrid>
      <w:tr>
        <w:trPr/>
        <w:tc>
          <w:tcPr>
            <w:tcW w:w="975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Page</w:t>
            </w:r>
          </w:p>
        </w:tc>
      </w:tr>
      <w:tr>
        <w:trPr/>
        <w:tc>
          <w:tcPr>
            <w:tcW w:w="97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Condensed Consolidated Financial Statements as of March 31, 2026 and December 31, 2025 and for the three months ended March 31, 2026 and 2025:</w:t>
            </w:r>
          </w:p>
        </w:tc>
        <w:tc>
          <w:tcPr>
            <w:tcW w:w="455" w:type="dxa"/>
            <w:tcBorders/>
            <w:vAlign w:val="center"/>
          </w:tcPr>
          <w:p>
            <w:pPr>
              <w:pStyle w:val="TableContents"/>
              <w:bidi w:val="0"/>
              <w:spacing w:before="0" w:after="283"/>
              <w:jc w:val="left"/>
              <w:rPr/>
            </w:pPr>
            <w:r>
              <w:rPr/>
              <w:t> </w:t>
            </w:r>
          </w:p>
        </w:tc>
      </w:tr>
      <w:tr>
        <w:trPr/>
        <w:tc>
          <w:tcPr>
            <w:tcW w:w="97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Condensed Consolidated Balance Sheets (Unaudited)</w:t>
              <w:tab/>
            </w:r>
          </w:p>
        </w:tc>
        <w:tc>
          <w:tcPr>
            <w:tcW w:w="45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w:t>
            </w:r>
          </w:p>
        </w:tc>
      </w:tr>
      <w:tr>
        <w:trPr/>
        <w:tc>
          <w:tcPr>
            <w:tcW w:w="97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Condensed Consolidated Statements of Operations (Unaudited)</w:t>
              <w:tab/>
            </w:r>
          </w:p>
        </w:tc>
        <w:tc>
          <w:tcPr>
            <w:tcW w:w="45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w:t>
            </w:r>
          </w:p>
        </w:tc>
      </w:tr>
      <w:tr>
        <w:trPr/>
        <w:tc>
          <w:tcPr>
            <w:tcW w:w="97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Condensed Consolidated Statements of Cash Flows (Unaudited)</w:t>
              <w:tab/>
            </w:r>
          </w:p>
        </w:tc>
        <w:tc>
          <w:tcPr>
            <w:tcW w:w="45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w:t>
            </w:r>
          </w:p>
        </w:tc>
      </w:tr>
      <w:tr>
        <w:trPr/>
        <w:tc>
          <w:tcPr>
            <w:tcW w:w="97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Condensed Consolidated Statements of Changes in Equity (Unaudited)</w:t>
              <w:tab/>
            </w:r>
          </w:p>
        </w:tc>
        <w:tc>
          <w:tcPr>
            <w:tcW w:w="45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w:t>
            </w:r>
          </w:p>
        </w:tc>
      </w:tr>
      <w:tr>
        <w:trPr/>
        <w:tc>
          <w:tcPr>
            <w:tcW w:w="97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Notes to Condensed Consolidated Financial Statements (Unaudited)</w:t>
              <w:tab/>
            </w:r>
          </w:p>
        </w:tc>
        <w:tc>
          <w:tcPr>
            <w:tcW w:w="45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COX COMMUNICATIONS,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Wholly-Owned Subsidiary of Cox Enterprises,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BALANCE SHEETS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tbl>
      <w:tblPr>
        <w:tblW w:w="90" w:type="dxa"/>
        <w:jc w:val="left"/>
        <w:tblInd w:w="0" w:type="dxa"/>
        <w:tblLayout w:type="fixed"/>
        <w:tblCellMar>
          <w:top w:w="0" w:type="dxa"/>
          <w:left w:w="0" w:type="dxa"/>
          <w:bottom w:w="28" w:type="dxa"/>
          <w:right w:w="0" w:type="dxa"/>
        </w:tblCellMar>
      </w:tblPr>
      <w:tblGrid>
        <w:gridCol w:w="90"/>
      </w:tblGrid>
      <w:tr>
        <w:trPr/>
        <w:tc>
          <w:tcPr>
            <w:tcW w:w="90" w:type="dxa"/>
            <w:tcBorders>
              <w:bottom w:val="single" w:sz="8" w:space="0" w:color="000000"/>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tbl>
      <w:tblPr>
        <w:tblW w:w="10123" w:type="dxa"/>
        <w:jc w:val="left"/>
        <w:tblInd w:w="0" w:type="dxa"/>
        <w:tblLayout w:type="fixed"/>
        <w:tblCellMar>
          <w:top w:w="0" w:type="dxa"/>
          <w:left w:w="0" w:type="dxa"/>
          <w:bottom w:w="0" w:type="dxa"/>
          <w:right w:w="0" w:type="dxa"/>
        </w:tblCellMar>
      </w:tblPr>
      <w:tblGrid>
        <w:gridCol w:w="7805"/>
        <w:gridCol w:w="60"/>
        <w:gridCol w:w="154"/>
        <w:gridCol w:w="735"/>
        <w:gridCol w:w="60"/>
        <w:gridCol w:w="60"/>
        <w:gridCol w:w="204"/>
        <w:gridCol w:w="970"/>
        <w:gridCol w:w="75"/>
      </w:tblGrid>
      <w:tr>
        <w:trPr/>
        <w:tc>
          <w:tcPr>
            <w:tcW w:w="78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89"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74"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80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millions)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8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7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80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ASSETS</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73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78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and cash equivalents</w:t>
              <w:tab/>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3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7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8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receivable — net of allowance of $41 and $38, respectively</w:t>
              <w:tab/>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657</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8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due from Cox Enterprises, Inc.</w:t>
              <w:tab/>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3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4,154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4,025</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8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Prepaid expenses and other current assets</w:t>
              <w:tab/>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3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7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352</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8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current assets</w:t>
              <w:tab/>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3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5,243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5,098</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8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and equipment — net</w:t>
              <w:tab/>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12,534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12,603</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8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Goodwill</w:t>
              <w:tab/>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3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1,260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1,260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8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Intangible assets — net</w:t>
              <w:tab/>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11,366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11,374</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8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noncurrent assets</w:t>
              <w:tab/>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3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7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394</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8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ASSETS</w:t>
              <w:tab/>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3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30,788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4"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7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30,729</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8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73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97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780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LIABILITIES AND EQUITY</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73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78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payable</w:t>
              <w:tab/>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3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7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497</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8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labor and benefits</w:t>
              <w:tab/>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482</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8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programming costs</w:t>
              <w:tab/>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3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8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expenses and other current liabilities</w:t>
              <w:tab/>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8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portion of long-term debt</w:t>
              <w:tab/>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3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7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1,038</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8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current liabilities</w:t>
              <w:tab/>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2,846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2,987</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8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Long-term debt</w:t>
              <w:tab/>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3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11,464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11,474</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8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income taxes</w:t>
              <w:tab/>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4,545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4,446</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8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noncurrent liabilities</w:t>
              <w:tab/>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3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7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873</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8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liabilities</w:t>
              <w:tab/>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19,309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19,780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8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EQUITY</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73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97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78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stock, $1.00 par value; 1,000 shares authorized and 100 shares issued and outstanding</w:t>
              <w:tab/>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8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paid-in capital</w:t>
              <w:tab/>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3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4,568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4,540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8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Retained earnings</w:t>
              <w:tab/>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3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6,911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7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6,409</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8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equity</w:t>
              <w:tab/>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3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11,479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7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10,949</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8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LIABILITIES AND EQUITY</w:t>
              <w:tab/>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3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30,788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4"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7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30,729</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notes to Condensed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COX COMMUNICATIONS,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Wholly-Owned Subsidiary of Cox Enterprises,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STATEMENTS OF OPERATIONS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tbl>
      <w:tblPr>
        <w:tblW w:w="90" w:type="dxa"/>
        <w:jc w:val="left"/>
        <w:tblInd w:w="0" w:type="dxa"/>
        <w:tblLayout w:type="fixed"/>
        <w:tblCellMar>
          <w:top w:w="0" w:type="dxa"/>
          <w:left w:w="0" w:type="dxa"/>
          <w:bottom w:w="28" w:type="dxa"/>
          <w:right w:w="0" w:type="dxa"/>
        </w:tblCellMar>
      </w:tblPr>
      <w:tblGrid>
        <w:gridCol w:w="90"/>
      </w:tblGrid>
      <w:tr>
        <w:trPr/>
        <w:tc>
          <w:tcPr>
            <w:tcW w:w="90" w:type="dxa"/>
            <w:tcBorders>
              <w:bottom w:val="single" w:sz="8" w:space="0" w:color="000000"/>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tbl>
      <w:tblPr>
        <w:tblW w:w="5922" w:type="dxa"/>
        <w:jc w:val="left"/>
        <w:tblInd w:w="0" w:type="dxa"/>
        <w:tblLayout w:type="fixed"/>
        <w:tblCellMar>
          <w:top w:w="0" w:type="dxa"/>
          <w:left w:w="0" w:type="dxa"/>
          <w:bottom w:w="0" w:type="dxa"/>
          <w:right w:w="0" w:type="dxa"/>
        </w:tblCellMar>
      </w:tblPr>
      <w:tblGrid>
        <w:gridCol w:w="3065"/>
        <w:gridCol w:w="60"/>
        <w:gridCol w:w="248"/>
        <w:gridCol w:w="964"/>
        <w:gridCol w:w="159"/>
        <w:gridCol w:w="119"/>
        <w:gridCol w:w="248"/>
        <w:gridCol w:w="964"/>
        <w:gridCol w:w="95"/>
      </w:tblGrid>
      <w:tr>
        <w:trPr/>
        <w:tc>
          <w:tcPr>
            <w:tcW w:w="30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702"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 March 31,</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06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millions)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12"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159" w:type="dxa"/>
            <w:tcBorders/>
            <w:vAlign w:val="center"/>
          </w:tcPr>
          <w:p>
            <w:pPr>
              <w:pStyle w:val="TableContents"/>
              <w:bidi w:val="0"/>
              <w:spacing w:before="0" w:after="283"/>
              <w:jc w:val="left"/>
              <w:rPr>
                <w:caps w:val="false"/>
                <w:smallCaps w:val="false"/>
              </w:rPr>
            </w:pPr>
            <w:r>
              <w:rPr>
                <w:caps w:val="false"/>
                <w:smallCaps w:val="false"/>
              </w:rPr>
              <w:t> </w:t>
            </w:r>
          </w:p>
        </w:tc>
        <w:tc>
          <w:tcPr>
            <w:tcW w:w="119" w:type="dxa"/>
            <w:tcBorders/>
            <w:vAlign w:val="center"/>
          </w:tcPr>
          <w:p>
            <w:pPr>
              <w:pStyle w:val="TableContents"/>
              <w:bidi w:val="0"/>
              <w:spacing w:before="0" w:after="283"/>
              <w:jc w:val="left"/>
              <w:rPr>
                <w:caps w:val="false"/>
                <w:smallCaps w:val="false"/>
              </w:rPr>
            </w:pPr>
            <w:r>
              <w:rPr>
                <w:caps w:val="false"/>
                <w:smallCaps w:val="false"/>
              </w:rPr>
              <w:t> </w:t>
            </w:r>
          </w:p>
        </w:tc>
        <w:tc>
          <w:tcPr>
            <w:tcW w:w="1212"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0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REVENUES</w:t>
              <w:tab/>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6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3,059</w:t>
            </w:r>
          </w:p>
        </w:tc>
        <w:tc>
          <w:tcPr>
            <w:tcW w:w="15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6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3,183</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0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jc w:val="left"/>
              <w:rPr/>
            </w:pPr>
            <w:r>
              <w:rPr/>
              <w:t> </w:t>
            </w:r>
          </w:p>
        </w:tc>
        <w:tc>
          <w:tcPr>
            <w:tcW w:w="964" w:type="dxa"/>
            <w:tcBorders/>
            <w:shd w:fill="FFFFFF" w:val="clear"/>
            <w:vAlign w:val="center"/>
          </w:tcPr>
          <w:p>
            <w:pPr>
              <w:pStyle w:val="TableContents"/>
              <w:bidi w:val="0"/>
              <w:spacing w:before="0" w:after="283"/>
              <w:jc w:val="right"/>
              <w:rPr/>
            </w:pPr>
            <w:r>
              <w:rPr/>
              <w:t> </w:t>
            </w:r>
          </w:p>
        </w:tc>
        <w:tc>
          <w:tcPr>
            <w:tcW w:w="159"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jc w:val="left"/>
              <w:rPr/>
            </w:pPr>
            <w:r>
              <w:rPr/>
              <w:t> </w:t>
            </w:r>
          </w:p>
        </w:tc>
        <w:tc>
          <w:tcPr>
            <w:tcW w:w="96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30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EXPENSES:</w:t>
            </w:r>
          </w:p>
        </w:tc>
        <w:tc>
          <w:tcPr>
            <w:tcW w:w="60" w:type="dxa"/>
            <w:tcBorders/>
            <w:shd w:fill="CCEEFF" w:val="clear"/>
            <w:vAlign w:val="center"/>
          </w:tcPr>
          <w:p>
            <w:pPr>
              <w:pStyle w:val="TableContents"/>
              <w:bidi w:val="0"/>
              <w:spacing w:before="0" w:after="283"/>
              <w:jc w:val="left"/>
              <w:rPr/>
            </w:pPr>
            <w:r>
              <w:rPr/>
              <w:t> </w:t>
            </w:r>
          </w:p>
        </w:tc>
        <w:tc>
          <w:tcPr>
            <w:tcW w:w="248" w:type="dxa"/>
            <w:tcBorders/>
            <w:shd w:fill="CCEEFF" w:val="clear"/>
            <w:vAlign w:val="center"/>
          </w:tcPr>
          <w:p>
            <w:pPr>
              <w:pStyle w:val="TableContents"/>
              <w:bidi w:val="0"/>
              <w:spacing w:before="0" w:after="283"/>
              <w:jc w:val="left"/>
              <w:rPr/>
            </w:pPr>
            <w:r>
              <w:rPr/>
              <w:t> </w:t>
            </w:r>
          </w:p>
        </w:tc>
        <w:tc>
          <w:tcPr>
            <w:tcW w:w="964" w:type="dxa"/>
            <w:tcBorders/>
            <w:shd w:fill="CCEEFF" w:val="clear"/>
            <w:vAlign w:val="center"/>
          </w:tcPr>
          <w:p>
            <w:pPr>
              <w:pStyle w:val="TableContents"/>
              <w:bidi w:val="0"/>
              <w:spacing w:before="0" w:after="283"/>
              <w:jc w:val="right"/>
              <w:rPr/>
            </w:pPr>
            <w:r>
              <w:rPr/>
              <w:t> </w:t>
            </w:r>
          </w:p>
        </w:tc>
        <w:tc>
          <w:tcPr>
            <w:tcW w:w="159"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248" w:type="dxa"/>
            <w:tcBorders/>
            <w:shd w:fill="CCEEFF" w:val="clear"/>
            <w:vAlign w:val="center"/>
          </w:tcPr>
          <w:p>
            <w:pPr>
              <w:pStyle w:val="TableContents"/>
              <w:bidi w:val="0"/>
              <w:spacing w:before="0" w:after="283"/>
              <w:jc w:val="left"/>
              <w:rPr/>
            </w:pPr>
            <w:r>
              <w:rPr/>
              <w:t> </w:t>
            </w:r>
          </w:p>
        </w:tc>
        <w:tc>
          <w:tcPr>
            <w:tcW w:w="96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30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Operating costs and expenses </w:t>
            </w:r>
            <w:r>
              <w:rPr>
                <w:rFonts w:ascii="Times New Roman;Times;Serif" w:hAnsi="Times New Roman;Times;Serif"/>
                <w:b w:val="false"/>
                <w:i w:val="false"/>
                <w:caps w:val="false"/>
                <w:smallCaps w:val="false"/>
                <w:position w:val="7"/>
                <w:sz w:val="16"/>
                <w:sz w:val="20"/>
              </w:rPr>
              <w:t>(a)</w:t>
            </w:r>
            <w:r>
              <w:rPr>
                <w:rFonts w:ascii="Times New Roman;Times;Serif" w:hAnsi="Times New Roman;Times;Serif"/>
                <w:b w:val="false"/>
                <w:i w:val="false"/>
                <w:caps w:val="false"/>
                <w:smallCaps w:val="false"/>
                <w:sz w:val="20"/>
              </w:rPr>
              <w:tab/>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6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1,740</w:t>
            </w:r>
          </w:p>
        </w:tc>
        <w:tc>
          <w:tcPr>
            <w:tcW w:w="15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6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1,922</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0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and amortization</w:t>
              <w:tab/>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538</w:t>
            </w:r>
          </w:p>
        </w:tc>
        <w:tc>
          <w:tcPr>
            <w:tcW w:w="15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544</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0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 net</w:t>
              <w:tab/>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6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w:t>
            </w:r>
          </w:p>
        </w:tc>
        <w:tc>
          <w:tcPr>
            <w:tcW w:w="15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6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0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operating expenses</w:t>
              <w:tab/>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6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2,324</w:t>
            </w:r>
          </w:p>
        </w:tc>
        <w:tc>
          <w:tcPr>
            <w:tcW w:w="15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6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2,451</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0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jc w:val="left"/>
              <w:rPr/>
            </w:pPr>
            <w:r>
              <w:rPr/>
              <w:t> </w:t>
            </w:r>
          </w:p>
        </w:tc>
        <w:tc>
          <w:tcPr>
            <w:tcW w:w="964" w:type="dxa"/>
            <w:tcBorders/>
            <w:shd w:fill="FFFFFF" w:val="clear"/>
            <w:vAlign w:val="center"/>
          </w:tcPr>
          <w:p>
            <w:pPr>
              <w:pStyle w:val="TableContents"/>
              <w:bidi w:val="0"/>
              <w:spacing w:before="0" w:after="283"/>
              <w:jc w:val="right"/>
              <w:rPr/>
            </w:pPr>
            <w:r>
              <w:rPr/>
              <w:t> </w:t>
            </w:r>
          </w:p>
        </w:tc>
        <w:tc>
          <w:tcPr>
            <w:tcW w:w="159"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jc w:val="left"/>
              <w:rPr/>
            </w:pPr>
            <w:r>
              <w:rPr/>
              <w:t> </w:t>
            </w:r>
          </w:p>
        </w:tc>
        <w:tc>
          <w:tcPr>
            <w:tcW w:w="96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30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INCOME</w:t>
              <w:tab/>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735</w:t>
            </w:r>
          </w:p>
        </w:tc>
        <w:tc>
          <w:tcPr>
            <w:tcW w:w="15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732</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0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jc w:val="left"/>
              <w:rPr/>
            </w:pPr>
            <w:r>
              <w:rPr/>
              <w:t> </w:t>
            </w:r>
          </w:p>
        </w:tc>
        <w:tc>
          <w:tcPr>
            <w:tcW w:w="964" w:type="dxa"/>
            <w:tcBorders/>
            <w:shd w:fill="FFFFFF" w:val="clear"/>
            <w:vAlign w:val="center"/>
          </w:tcPr>
          <w:p>
            <w:pPr>
              <w:pStyle w:val="TableContents"/>
              <w:bidi w:val="0"/>
              <w:spacing w:before="0" w:after="283"/>
              <w:jc w:val="right"/>
              <w:rPr/>
            </w:pPr>
            <w:r>
              <w:rPr/>
              <w:t> </w:t>
            </w:r>
          </w:p>
        </w:tc>
        <w:tc>
          <w:tcPr>
            <w:tcW w:w="159"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jc w:val="left"/>
              <w:rPr/>
            </w:pPr>
            <w:r>
              <w:rPr/>
              <w:t> </w:t>
            </w:r>
          </w:p>
        </w:tc>
        <w:tc>
          <w:tcPr>
            <w:tcW w:w="96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30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NON-OPERATING EXPENSES:</w:t>
            </w:r>
          </w:p>
        </w:tc>
        <w:tc>
          <w:tcPr>
            <w:tcW w:w="60" w:type="dxa"/>
            <w:tcBorders/>
            <w:shd w:fill="CCEEFF" w:val="clear"/>
            <w:vAlign w:val="center"/>
          </w:tcPr>
          <w:p>
            <w:pPr>
              <w:pStyle w:val="TableContents"/>
              <w:bidi w:val="0"/>
              <w:spacing w:before="0" w:after="283"/>
              <w:jc w:val="left"/>
              <w:rPr/>
            </w:pPr>
            <w:r>
              <w:rPr/>
              <w:t> </w:t>
            </w:r>
          </w:p>
        </w:tc>
        <w:tc>
          <w:tcPr>
            <w:tcW w:w="248" w:type="dxa"/>
            <w:tcBorders/>
            <w:shd w:fill="CCEEFF" w:val="clear"/>
            <w:vAlign w:val="center"/>
          </w:tcPr>
          <w:p>
            <w:pPr>
              <w:pStyle w:val="TableContents"/>
              <w:bidi w:val="0"/>
              <w:spacing w:before="0" w:after="283"/>
              <w:jc w:val="left"/>
              <w:rPr/>
            </w:pPr>
            <w:r>
              <w:rPr/>
              <w:t> </w:t>
            </w:r>
          </w:p>
        </w:tc>
        <w:tc>
          <w:tcPr>
            <w:tcW w:w="964" w:type="dxa"/>
            <w:tcBorders/>
            <w:shd w:fill="CCEEFF" w:val="clear"/>
            <w:vAlign w:val="center"/>
          </w:tcPr>
          <w:p>
            <w:pPr>
              <w:pStyle w:val="TableContents"/>
              <w:bidi w:val="0"/>
              <w:spacing w:before="0" w:after="283"/>
              <w:jc w:val="right"/>
              <w:rPr/>
            </w:pPr>
            <w:r>
              <w:rPr/>
              <w:t> </w:t>
            </w:r>
          </w:p>
        </w:tc>
        <w:tc>
          <w:tcPr>
            <w:tcW w:w="159"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248" w:type="dxa"/>
            <w:tcBorders/>
            <w:shd w:fill="CCEEFF" w:val="clear"/>
            <w:vAlign w:val="center"/>
          </w:tcPr>
          <w:p>
            <w:pPr>
              <w:pStyle w:val="TableContents"/>
              <w:bidi w:val="0"/>
              <w:spacing w:before="0" w:after="283"/>
              <w:jc w:val="left"/>
              <w:rPr/>
            </w:pPr>
            <w:r>
              <w:rPr/>
              <w:t> </w:t>
            </w:r>
          </w:p>
        </w:tc>
        <w:tc>
          <w:tcPr>
            <w:tcW w:w="96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30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 — net</w:t>
              <w:tab/>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6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w:t>
            </w:r>
          </w:p>
        </w:tc>
        <w:tc>
          <w:tcPr>
            <w:tcW w:w="15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6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(108</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0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Investments income (expense) — net</w:t>
              <w:tab/>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15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0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Miscellaneous income — net</w:t>
              <w:tab/>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6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c>
          <w:tcPr>
            <w:tcW w:w="15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6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0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non-operating expenses</w:t>
              <w:tab/>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w:t>
            </w:r>
          </w:p>
        </w:tc>
        <w:tc>
          <w:tcPr>
            <w:tcW w:w="15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(142</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0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jc w:val="left"/>
              <w:rPr/>
            </w:pPr>
            <w:r>
              <w:rPr/>
              <w:t> </w:t>
            </w:r>
          </w:p>
        </w:tc>
        <w:tc>
          <w:tcPr>
            <w:tcW w:w="964" w:type="dxa"/>
            <w:tcBorders/>
            <w:shd w:fill="FFFFFF" w:val="clear"/>
            <w:vAlign w:val="center"/>
          </w:tcPr>
          <w:p>
            <w:pPr>
              <w:pStyle w:val="TableContents"/>
              <w:bidi w:val="0"/>
              <w:spacing w:before="0" w:after="283"/>
              <w:jc w:val="right"/>
              <w:rPr/>
            </w:pPr>
            <w:r>
              <w:rPr/>
              <w:t> </w:t>
            </w:r>
          </w:p>
        </w:tc>
        <w:tc>
          <w:tcPr>
            <w:tcW w:w="159"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jc w:val="left"/>
              <w:rPr/>
            </w:pPr>
            <w:r>
              <w:rPr/>
              <w:t> </w:t>
            </w:r>
          </w:p>
        </w:tc>
        <w:tc>
          <w:tcPr>
            <w:tcW w:w="96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30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BEFORE INCOME TAXES</w:t>
              <w:tab/>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640</w:t>
            </w:r>
          </w:p>
        </w:tc>
        <w:tc>
          <w:tcPr>
            <w:tcW w:w="15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0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 EXPENSE</w:t>
              <w:tab/>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6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(138</w:t>
            </w:r>
          </w:p>
        </w:tc>
        <w:tc>
          <w:tcPr>
            <w:tcW w:w="15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6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(129</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0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INCOME</w:t>
              <w:tab/>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8"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64"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502</w:t>
            </w:r>
          </w:p>
        </w:tc>
        <w:tc>
          <w:tcPr>
            <w:tcW w:w="15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8"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64"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461</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(a)</w:t>
      </w:r>
      <w:r>
        <w:rPr>
          <w:rFonts w:ascii="Times New Roman;Times;Serif" w:hAnsi="Times New Roman;Times;Serif"/>
          <w:b w:val="false"/>
          <w:i w:val="false"/>
          <w:caps w:val="false"/>
          <w:smallCaps w:val="false"/>
          <w:sz w:val="20"/>
        </w:rPr>
        <w:t> See Note 8 — Transactions with Affiliated Companies and Related Parties for impacts associated with related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notes to Condensed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COX COMMUNICATIONS,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Wholly-Owned Subsidiary of Cox Enterprises,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STATEMENTS OF CASH FLOWS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tbl>
      <w:tblPr>
        <w:tblW w:w="90" w:type="dxa"/>
        <w:jc w:val="left"/>
        <w:tblInd w:w="0" w:type="dxa"/>
        <w:tblLayout w:type="fixed"/>
        <w:tblCellMar>
          <w:top w:w="0" w:type="dxa"/>
          <w:left w:w="0" w:type="dxa"/>
          <w:bottom w:w="28" w:type="dxa"/>
          <w:right w:w="0" w:type="dxa"/>
        </w:tblCellMar>
      </w:tblPr>
      <w:tblGrid>
        <w:gridCol w:w="90"/>
      </w:tblGrid>
      <w:tr>
        <w:trPr/>
        <w:tc>
          <w:tcPr>
            <w:tcW w:w="90" w:type="dxa"/>
            <w:tcBorders>
              <w:bottom w:val="single" w:sz="8" w:space="0" w:color="000000"/>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tbl>
      <w:tblPr>
        <w:tblW w:w="9492" w:type="dxa"/>
        <w:jc w:val="left"/>
        <w:tblInd w:w="0" w:type="dxa"/>
        <w:tblLayout w:type="fixed"/>
        <w:tblCellMar>
          <w:top w:w="0" w:type="dxa"/>
          <w:left w:w="0" w:type="dxa"/>
          <w:bottom w:w="0" w:type="dxa"/>
          <w:right w:w="0" w:type="dxa"/>
        </w:tblCellMar>
      </w:tblPr>
      <w:tblGrid>
        <w:gridCol w:w="6635"/>
        <w:gridCol w:w="60"/>
        <w:gridCol w:w="286"/>
        <w:gridCol w:w="905"/>
        <w:gridCol w:w="183"/>
        <w:gridCol w:w="137"/>
        <w:gridCol w:w="286"/>
        <w:gridCol w:w="905"/>
        <w:gridCol w:w="95"/>
      </w:tblGrid>
      <w:tr>
        <w:trPr/>
        <w:tc>
          <w:tcPr>
            <w:tcW w:w="66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702"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 March 31,</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63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millions)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91"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183" w:type="dxa"/>
            <w:tcBorders/>
            <w:vAlign w:val="center"/>
          </w:tcPr>
          <w:p>
            <w:pPr>
              <w:pStyle w:val="TableContents"/>
              <w:bidi w:val="0"/>
              <w:spacing w:before="0" w:after="283"/>
              <w:jc w:val="left"/>
              <w:rPr>
                <w:caps w:val="false"/>
                <w:smallCaps w:val="false"/>
              </w:rPr>
            </w:pPr>
            <w:r>
              <w:rPr>
                <w:caps w:val="false"/>
                <w:smallCaps w:val="false"/>
              </w:rPr>
              <w:t> </w:t>
            </w:r>
          </w:p>
        </w:tc>
        <w:tc>
          <w:tcPr>
            <w:tcW w:w="137" w:type="dxa"/>
            <w:tcBorders/>
            <w:vAlign w:val="center"/>
          </w:tcPr>
          <w:p>
            <w:pPr>
              <w:pStyle w:val="TableContents"/>
              <w:bidi w:val="0"/>
              <w:spacing w:before="0" w:after="283"/>
              <w:jc w:val="left"/>
              <w:rPr>
                <w:caps w:val="false"/>
                <w:smallCaps w:val="false"/>
              </w:rPr>
            </w:pPr>
            <w:r>
              <w:rPr>
                <w:caps w:val="false"/>
                <w:smallCaps w:val="false"/>
              </w:rPr>
              <w:t> </w:t>
            </w:r>
          </w:p>
        </w:tc>
        <w:tc>
          <w:tcPr>
            <w:tcW w:w="1191"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6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FLOWS FROM OPERATING ACTIVITIES:</w:t>
            </w:r>
          </w:p>
        </w:tc>
        <w:tc>
          <w:tcPr>
            <w:tcW w:w="60"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183"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66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income</w:t>
              <w:tab/>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8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502</w:t>
            </w:r>
          </w:p>
        </w:tc>
        <w:tc>
          <w:tcPr>
            <w:tcW w:w="18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8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461</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6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Adjustments to reconcile net income to net cash provided by operating activities:</w:t>
            </w:r>
          </w:p>
        </w:tc>
        <w:tc>
          <w:tcPr>
            <w:tcW w:w="60"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183"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66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and amortization</w:t>
              <w:tab/>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538</w:t>
            </w:r>
          </w:p>
        </w:tc>
        <w:tc>
          <w:tcPr>
            <w:tcW w:w="18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544</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6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income taxes</w:t>
              <w:tab/>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8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18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8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6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Investments (income) expense — net</w:t>
              <w:tab/>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18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6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Provision for credit losses</w:t>
              <w:tab/>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8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c>
          <w:tcPr>
            <w:tcW w:w="18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8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6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Restructuring and other</w:t>
              <w:tab/>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w:t>
            </w:r>
          </w:p>
        </w:tc>
        <w:tc>
          <w:tcPr>
            <w:tcW w:w="18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(144</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6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certain assets and liabilities:</w:t>
            </w:r>
          </w:p>
        </w:tc>
        <w:tc>
          <w:tcPr>
            <w:tcW w:w="60"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183"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66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 decrease in accounts receivable</w:t>
              <w:tab/>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c>
          <w:tcPr>
            <w:tcW w:w="18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6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 in prepaid expenses and other assets</w:t>
              <w:tab/>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8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18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8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6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 (decrease) in accounts payable</w:t>
              <w:tab/>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w:t>
            </w:r>
          </w:p>
        </w:tc>
        <w:tc>
          <w:tcPr>
            <w:tcW w:w="18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6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Decrease in accrued expenses and other liabilities</w:t>
              <w:tab/>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8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(479</w:t>
            </w:r>
          </w:p>
        </w:tc>
        <w:tc>
          <w:tcPr>
            <w:tcW w:w="18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8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(185</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6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 net</w:t>
              <w:tab/>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8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18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8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6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operating activities</w:t>
              <w:tab/>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8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624</w:t>
            </w:r>
          </w:p>
        </w:tc>
        <w:tc>
          <w:tcPr>
            <w:tcW w:w="18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8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678</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6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6"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 </w:t>
            </w:r>
          </w:p>
        </w:tc>
        <w:tc>
          <w:tcPr>
            <w:tcW w:w="183"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left"/>
              <w:rPr/>
            </w:pPr>
            <w:r>
              <w:rPr/>
              <w:t> </w:t>
            </w:r>
          </w:p>
        </w:tc>
        <w:tc>
          <w:tcPr>
            <w:tcW w:w="286"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66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FLOWS FROM INVESTING ACTIVITIES:</w:t>
            </w:r>
          </w:p>
        </w:tc>
        <w:tc>
          <w:tcPr>
            <w:tcW w:w="60"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183"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66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 expenditures</w:t>
              <w:tab/>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(463</w:t>
            </w:r>
          </w:p>
        </w:tc>
        <w:tc>
          <w:tcPr>
            <w:tcW w:w="18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(501</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6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 decrease in amounts due from Cox Enterprises, Inc.</w:t>
              <w:tab/>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8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(129</w:t>
            </w:r>
          </w:p>
        </w:tc>
        <w:tc>
          <w:tcPr>
            <w:tcW w:w="18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8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515</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6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 net</w:t>
              <w:tab/>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8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18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8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6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provided by investing activities</w:t>
              <w:tab/>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8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(592</w:t>
            </w:r>
          </w:p>
        </w:tc>
        <w:tc>
          <w:tcPr>
            <w:tcW w:w="18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8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6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6"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 </w:t>
            </w:r>
          </w:p>
        </w:tc>
        <w:tc>
          <w:tcPr>
            <w:tcW w:w="183"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left"/>
              <w:rPr/>
            </w:pPr>
            <w:r>
              <w:rPr/>
              <w:t> </w:t>
            </w:r>
          </w:p>
        </w:tc>
        <w:tc>
          <w:tcPr>
            <w:tcW w:w="286"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66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FLOWS FROM FINANCING ACTIVITIES:</w:t>
            </w:r>
          </w:p>
        </w:tc>
        <w:tc>
          <w:tcPr>
            <w:tcW w:w="60"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183"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66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Repayment of debt</w:t>
              <w:tab/>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18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(706</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6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 net</w:t>
              <w:tab/>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8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18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8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6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financing activities</w:t>
              <w:tab/>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8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18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8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(709</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6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183"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66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CHANGE IN CASH AND CASH EQUIVALENTS</w:t>
              <w:tab/>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w:t>
            </w:r>
          </w:p>
        </w:tc>
        <w:tc>
          <w:tcPr>
            <w:tcW w:w="18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6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183"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66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AND CASH EQUIVALENTS — Beginning of period</w:t>
              <w:tab/>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8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w:t>
            </w:r>
          </w:p>
        </w:tc>
        <w:tc>
          <w:tcPr>
            <w:tcW w:w="18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8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97</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6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183"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66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AND CASH EQUIVALENTS — End of period</w:t>
              <w:tab/>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86"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w:t>
            </w:r>
          </w:p>
        </w:tc>
        <w:tc>
          <w:tcPr>
            <w:tcW w:w="18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86"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notes to Condensed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COX COMMUNICATIONS,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Wholly-Owned Subsidiary of Cox Enterprises,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STATEMENTS OF CHANGES IN EQUITY</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tbl>
      <w:tblPr>
        <w:tblW w:w="90" w:type="dxa"/>
        <w:jc w:val="left"/>
        <w:tblInd w:w="0" w:type="dxa"/>
        <w:tblLayout w:type="fixed"/>
        <w:tblCellMar>
          <w:top w:w="0" w:type="dxa"/>
          <w:left w:w="0" w:type="dxa"/>
          <w:bottom w:w="28" w:type="dxa"/>
          <w:right w:w="0" w:type="dxa"/>
        </w:tblCellMar>
      </w:tblPr>
      <w:tblGrid>
        <w:gridCol w:w="90"/>
      </w:tblGrid>
      <w:tr>
        <w:trPr/>
        <w:tc>
          <w:tcPr>
            <w:tcW w:w="90" w:type="dxa"/>
            <w:tcBorders>
              <w:bottom w:val="single" w:sz="8" w:space="0" w:color="000000"/>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tbl>
      <w:tblPr>
        <w:tblW w:w="9134" w:type="dxa"/>
        <w:jc w:val="left"/>
        <w:tblInd w:w="0" w:type="dxa"/>
        <w:tblLayout w:type="fixed"/>
        <w:tblCellMar>
          <w:top w:w="0" w:type="dxa"/>
          <w:left w:w="0" w:type="dxa"/>
          <w:bottom w:w="28" w:type="dxa"/>
          <w:right w:w="0" w:type="dxa"/>
        </w:tblCellMar>
      </w:tblPr>
      <w:tblGrid>
        <w:gridCol w:w="4055"/>
        <w:gridCol w:w="60"/>
        <w:gridCol w:w="259"/>
        <w:gridCol w:w="541"/>
        <w:gridCol w:w="60"/>
        <w:gridCol w:w="60"/>
        <w:gridCol w:w="463"/>
        <w:gridCol w:w="1806"/>
        <w:gridCol w:w="60"/>
        <w:gridCol w:w="60"/>
        <w:gridCol w:w="163"/>
        <w:gridCol w:w="637"/>
        <w:gridCol w:w="60"/>
        <w:gridCol w:w="60"/>
        <w:gridCol w:w="125"/>
        <w:gridCol w:w="590"/>
        <w:gridCol w:w="75"/>
      </w:tblGrid>
      <w:tr>
        <w:trPr/>
        <w:tc>
          <w:tcPr>
            <w:tcW w:w="4055"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millions)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00"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269"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Additional Paid-In Capital</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00"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Retained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Earnings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1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05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BALANCE — January 1, 2026</w:t>
              <w:tab/>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59"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41"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63"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806"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4,540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3"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37"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6,409</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9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10,949</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05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income</w:t>
              <w:tab/>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59"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41"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63"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06"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3"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37"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502</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502</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05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Contribution to capital from Cox Enterprises, Inc.</w:t>
              <w:tab/>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59"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1" w:type="dxa"/>
            <w:tcBorders>
              <w:bottom w:val="single" w:sz="8" w:space="0" w:color="000000"/>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63"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06"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3"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7" w:type="dxa"/>
            <w:tcBorders>
              <w:bottom w:val="single" w:sz="8" w:space="0" w:color="000000"/>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05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BALANCE — March 31, 2026</w:t>
              <w:tab/>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59" w:type="dxa"/>
            <w:tcBorders>
              <w:bottom w:val="double" w:sz="6" w:space="0" w:color="000000"/>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41" w:type="dxa"/>
            <w:tcBorders>
              <w:bottom w:val="double" w:sz="6" w:space="0" w:color="000000"/>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63" w:type="dxa"/>
            <w:tcBorders>
              <w:bottom w:val="double" w:sz="6" w:space="0" w:color="000000"/>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806" w:type="dxa"/>
            <w:tcBorders>
              <w:bottom w:val="double" w:sz="6"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4,568</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3" w:type="dxa"/>
            <w:tcBorders>
              <w:bottom w:val="double" w:sz="6" w:space="0" w:color="000000"/>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37" w:type="dxa"/>
            <w:tcBorders>
              <w:bottom w:val="double" w:sz="6"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6,911</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90" w:type="dxa"/>
            <w:tcBorders>
              <w:bottom w:val="double" w:sz="6"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11,479</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center"/>
        <w:rPr>
          <w:caps w:val="false"/>
          <w:smallCaps w:val="false"/>
        </w:rPr>
      </w:pPr>
      <w:r>
        <w:rPr>
          <w:caps w:val="false"/>
          <w:smallCaps w:val="false"/>
        </w:rPr>
        <w:t> </w:t>
      </w:r>
    </w:p>
    <w:tbl>
      <w:tblPr>
        <w:tblW w:w="7604" w:type="dxa"/>
        <w:jc w:val="left"/>
        <w:tblInd w:w="0" w:type="dxa"/>
        <w:tblLayout w:type="fixed"/>
        <w:tblCellMar>
          <w:top w:w="0" w:type="dxa"/>
          <w:left w:w="0" w:type="dxa"/>
          <w:bottom w:w="28" w:type="dxa"/>
          <w:right w:w="0" w:type="dxa"/>
        </w:tblCellMar>
      </w:tblPr>
      <w:tblGrid>
        <w:gridCol w:w="2525"/>
        <w:gridCol w:w="60"/>
        <w:gridCol w:w="259"/>
        <w:gridCol w:w="541"/>
        <w:gridCol w:w="60"/>
        <w:gridCol w:w="60"/>
        <w:gridCol w:w="463"/>
        <w:gridCol w:w="1806"/>
        <w:gridCol w:w="60"/>
        <w:gridCol w:w="60"/>
        <w:gridCol w:w="139"/>
        <w:gridCol w:w="661"/>
        <w:gridCol w:w="60"/>
        <w:gridCol w:w="60"/>
        <w:gridCol w:w="125"/>
        <w:gridCol w:w="590"/>
        <w:gridCol w:w="75"/>
      </w:tblGrid>
      <w:tr>
        <w:trPr/>
        <w:tc>
          <w:tcPr>
            <w:tcW w:w="2525"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millions)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00"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269"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Additional Paid-In Capital</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00"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Retained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Earnings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1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52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BALANCE — January 1, 2025</w:t>
              <w:tab/>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59"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41"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63"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806"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4,429</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9"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61"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10,057</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9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14,486</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52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income</w:t>
              <w:tab/>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59"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1" w:type="dxa"/>
            <w:tcBorders>
              <w:bottom w:val="single" w:sz="8" w:space="0" w:color="000000"/>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63"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06" w:type="dxa"/>
            <w:tcBorders>
              <w:bottom w:val="single" w:sz="8" w:space="0" w:color="000000"/>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9"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1"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461</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461</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52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BALANCE — March 31, 2025</w:t>
              <w:tab/>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59" w:type="dxa"/>
            <w:tcBorders>
              <w:bottom w:val="double" w:sz="6" w:space="0" w:color="000000"/>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41" w:type="dxa"/>
            <w:tcBorders>
              <w:bottom w:val="double" w:sz="6" w:space="0" w:color="000000"/>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63" w:type="dxa"/>
            <w:tcBorders>
              <w:bottom w:val="double" w:sz="6" w:space="0" w:color="000000"/>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806"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4,429</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9" w:type="dxa"/>
            <w:tcBorders>
              <w:bottom w:val="double" w:sz="6" w:space="0" w:color="000000"/>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61"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10,518</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90"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14,947</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notes to Condensed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COX COMMUNICATIONS,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Wholly-Owned Subsidiary of Cox Enterprises,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tbl>
      <w:tblPr>
        <w:tblW w:w="90" w:type="dxa"/>
        <w:jc w:val="left"/>
        <w:tblInd w:w="0" w:type="dxa"/>
        <w:tblLayout w:type="fixed"/>
        <w:tblCellMar>
          <w:top w:w="0" w:type="dxa"/>
          <w:left w:w="0" w:type="dxa"/>
          <w:bottom w:w="28" w:type="dxa"/>
          <w:right w:w="0" w:type="dxa"/>
        </w:tblCellMar>
      </w:tblPr>
      <w:tblGrid>
        <w:gridCol w:w="90"/>
      </w:tblGrid>
      <w:tr>
        <w:trPr/>
        <w:tc>
          <w:tcPr>
            <w:tcW w:w="90" w:type="dxa"/>
            <w:tcBorders>
              <w:bottom w:val="single" w:sz="8" w:space="0" w:color="000000"/>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      DESCRIPTION OF BUSINESS, BASIS OF PRESENTATION AND OTHER ITEMS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Communications, Inc. (together with its consolidated subsidiaries, "Cox" or "the Company"), a wholly-owned subsidiary of Cox Enterprises, Inc. ("CEI"), is committed to creating meaningful moments of human connection through technology. As the largest private broadband company in the United States, Cox operates fiber-powered networks in more than 30 states, providing connections and advanced managed IT and cloud services for homes and businesses. Cox Mobile, Cox’s mobile phone service, is available across markets nationwide. The commercial division of Cox, Cox Business, provides a broad commercial solutions portfolio, including advanced managed IT and cloud services and fiber-based network solutions that support connected environments, unique hospitality experiences and diverse applications.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Basis of Presentation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unaudited interim Condensed Consolidated Financial Statements of Cox have been prepared in accordance with U.S. generally accepted accounting principles (“GAAP”) for interim financial information. Accordingly, they do not include all of the information and footnote disclosures required by GAAP for complete consolidated financial statements. In the opinion of management, the unaudited interim Condensed Consolidated Financial Statements include all adjustments, of a normal recurring nature, necessary for a fair presentation of the condensed consolidated results of operations, financial position and cash flows for the interim periods presented. All intercompany transactions and account balances have been eliminated in consolidation. Cox has included the results of operations of acquired companies from the date of acquisition. These unaudited interim Condensed Consolidated Financial Statements should be read in conjunction with the audited Consolidated Financial Statements and notes therein as of and for the year ended December 31, 2025. Results of operations for interim periods are not necessarily indicative of results that might be expected for future interim periods or for the full year ending December 31,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Use of Estimates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condensed consolidated financial statements in conformity with GAAP requires management to make estimates and assumptions that affect the reported amounts of assets and liabilities and disclosure of contingent assets and liabilities at the date of the Condensed Consolidated Financial Statements and the reported amounts of revenues and expenses during the reporting periods. Estimates are evaluated based on available information and experience, as well as other assumptions Cox believes reasonable under the circumstances. Actual results could differ from those estimates.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Revenue Recognition</w:t>
      </w:r>
    </w:p>
    <w:p>
      <w:pPr>
        <w:pStyle w:val="TextBody"/>
        <w:bidi w:val="0"/>
        <w:spacing w:before="0" w:after="0"/>
        <w:ind w:left="0" w:right="0" w:hanging="0"/>
        <w:jc w:val="left"/>
        <w:rPr>
          <w:caps w:val="false"/>
          <w:smallCaps w:val="false"/>
        </w:rPr>
      </w:pPr>
      <w:r>
        <w:rPr>
          <w:caps w:val="false"/>
          <w:smallCaps w:val="false"/>
        </w:rPr>
        <w:t> </w:t>
      </w:r>
    </w:p>
    <w:tbl>
      <w:tblPr>
        <w:tblW w:w="4209" w:type="dxa"/>
        <w:jc w:val="left"/>
        <w:tblInd w:w="0" w:type="dxa"/>
        <w:tblLayout w:type="fixed"/>
        <w:tblCellMar>
          <w:top w:w="0" w:type="dxa"/>
          <w:left w:w="0" w:type="dxa"/>
          <w:bottom w:w="0" w:type="dxa"/>
          <w:right w:w="0" w:type="dxa"/>
        </w:tblCellMar>
      </w:tblPr>
      <w:tblGrid>
        <w:gridCol w:w="1370"/>
        <w:gridCol w:w="60"/>
        <w:gridCol w:w="252"/>
        <w:gridCol w:w="979"/>
        <w:gridCol w:w="121"/>
        <w:gridCol w:w="121"/>
        <w:gridCol w:w="252"/>
        <w:gridCol w:w="979"/>
        <w:gridCol w:w="75"/>
      </w:tblGrid>
      <w:tr>
        <w:trPr/>
        <w:tc>
          <w:tcPr>
            <w:tcW w:w="13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704"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 March 31,</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37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millions)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31"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121" w:type="dxa"/>
            <w:tcBorders/>
            <w:vAlign w:val="center"/>
          </w:tcPr>
          <w:p>
            <w:pPr>
              <w:pStyle w:val="TableContents"/>
              <w:bidi w:val="0"/>
              <w:spacing w:before="0" w:after="283"/>
              <w:jc w:val="left"/>
              <w:rPr>
                <w:caps w:val="false"/>
                <w:smallCaps w:val="false"/>
              </w:rPr>
            </w:pPr>
            <w:r>
              <w:rPr>
                <w:caps w:val="false"/>
                <w:smallCaps w:val="false"/>
              </w:rPr>
              <w:t> </w:t>
            </w:r>
          </w:p>
        </w:tc>
        <w:tc>
          <w:tcPr>
            <w:tcW w:w="121" w:type="dxa"/>
            <w:tcBorders/>
            <w:vAlign w:val="center"/>
          </w:tcPr>
          <w:p>
            <w:pPr>
              <w:pStyle w:val="TableContents"/>
              <w:bidi w:val="0"/>
              <w:spacing w:before="0" w:after="283"/>
              <w:jc w:val="left"/>
              <w:rPr>
                <w:caps w:val="false"/>
                <w:smallCaps w:val="false"/>
              </w:rPr>
            </w:pPr>
            <w:r>
              <w:rPr>
                <w:caps w:val="false"/>
                <w:smallCaps w:val="false"/>
              </w:rPr>
              <w:t> </w:t>
            </w:r>
          </w:p>
        </w:tc>
        <w:tc>
          <w:tcPr>
            <w:tcW w:w="1231"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3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Residential</w:t>
            </w:r>
          </w:p>
        </w:tc>
        <w:tc>
          <w:tcPr>
            <w:tcW w:w="60" w:type="dxa"/>
            <w:tcBorders/>
            <w:shd w:fill="CCEEFF" w:val="clear"/>
            <w:vAlign w:val="center"/>
          </w:tcPr>
          <w:p>
            <w:pPr>
              <w:pStyle w:val="TableContents"/>
              <w:bidi w:val="0"/>
              <w:spacing w:before="0" w:after="283"/>
              <w:jc w:val="left"/>
              <w:rPr/>
            </w:pPr>
            <w:r>
              <w:rPr/>
              <w:t> </w:t>
            </w:r>
          </w:p>
        </w:tc>
        <w:tc>
          <w:tcPr>
            <w:tcW w:w="1231" w:type="dxa"/>
            <w:gridSpan w:val="2"/>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1231" w:type="dxa"/>
            <w:gridSpan w:val="2"/>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13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Data</w:t>
              <w:tab/>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7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1,386</w:t>
            </w:r>
          </w:p>
        </w:tc>
        <w:tc>
          <w:tcPr>
            <w:tcW w:w="12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7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1,478</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3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Video</w:t>
              <w:tab/>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586</w:t>
            </w:r>
          </w:p>
        </w:tc>
        <w:tc>
          <w:tcPr>
            <w:tcW w:w="12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3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Telephony</w:t>
              <w:tab/>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12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3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Other </w:t>
            </w:r>
            <w:r>
              <w:rPr>
                <w:rFonts w:ascii="Times New Roman;Times;Serif" w:hAnsi="Times New Roman;Times;Serif"/>
                <w:b w:val="false"/>
                <w:i w:val="false"/>
                <w:caps w:val="false"/>
                <w:smallCaps w:val="false"/>
                <w:position w:val="7"/>
                <w:sz w:val="16"/>
                <w:sz w:val="20"/>
              </w:rPr>
              <w:t>(a)</w:t>
            </w:r>
            <w:r>
              <w:rPr>
                <w:rFonts w:ascii="Times New Roman;Times;Serif" w:hAnsi="Times New Roman;Times;Serif"/>
                <w:b w:val="false"/>
                <w:i w:val="false"/>
                <w:caps w:val="false"/>
                <w:smallCaps w:val="false"/>
                <w:sz w:val="20"/>
              </w:rPr>
              <w:tab/>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7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135</w:t>
            </w:r>
          </w:p>
        </w:tc>
        <w:tc>
          <w:tcPr>
            <w:tcW w:w="12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7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138</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3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residential</w:t>
              <w:tab/>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2,148</w:t>
            </w:r>
          </w:p>
        </w:tc>
        <w:tc>
          <w:tcPr>
            <w:tcW w:w="12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2,289</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3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2" w:type="dxa"/>
            <w:tcBorders/>
            <w:shd w:fill="CCEEFF" w:val="clear"/>
            <w:vAlign w:val="center"/>
          </w:tcPr>
          <w:p>
            <w:pPr>
              <w:pStyle w:val="TableContents"/>
              <w:bidi w:val="0"/>
              <w:spacing w:before="0" w:after="283"/>
              <w:jc w:val="left"/>
              <w:rPr/>
            </w:pPr>
            <w:r>
              <w:rPr/>
              <w:t> </w:t>
            </w:r>
          </w:p>
        </w:tc>
        <w:tc>
          <w:tcPr>
            <w:tcW w:w="979" w:type="dxa"/>
            <w:tcBorders/>
            <w:shd w:fill="CCEEFF" w:val="clear"/>
            <w:vAlign w:val="center"/>
          </w:tcPr>
          <w:p>
            <w:pPr>
              <w:pStyle w:val="TableContents"/>
              <w:bidi w:val="0"/>
              <w:spacing w:before="0" w:after="283"/>
              <w:jc w:val="right"/>
              <w:rPr/>
            </w:pPr>
            <w:r>
              <w:rPr/>
              <w:t> </w:t>
            </w:r>
          </w:p>
        </w:tc>
        <w:tc>
          <w:tcPr>
            <w:tcW w:w="121"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252" w:type="dxa"/>
            <w:tcBorders/>
            <w:shd w:fill="CCEEFF" w:val="clear"/>
            <w:vAlign w:val="center"/>
          </w:tcPr>
          <w:p>
            <w:pPr>
              <w:pStyle w:val="TableContents"/>
              <w:bidi w:val="0"/>
              <w:spacing w:before="0" w:after="283"/>
              <w:jc w:val="left"/>
              <w:rPr/>
            </w:pPr>
            <w:r>
              <w:rPr/>
              <w:t> </w:t>
            </w:r>
          </w:p>
        </w:tc>
        <w:tc>
          <w:tcPr>
            <w:tcW w:w="979"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13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Commercial</w:t>
              <w:tab/>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861</w:t>
            </w:r>
          </w:p>
        </w:tc>
        <w:tc>
          <w:tcPr>
            <w:tcW w:w="12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843</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3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Advertising</w:t>
              <w:tab/>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7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w:t>
            </w:r>
          </w:p>
        </w:tc>
        <w:tc>
          <w:tcPr>
            <w:tcW w:w="12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7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3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revenues</w:t>
              <w:tab/>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2"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7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3,059</w:t>
            </w:r>
          </w:p>
        </w:tc>
        <w:tc>
          <w:tcPr>
            <w:tcW w:w="12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2"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7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3,183</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9"/>
        <w:gridCol w:w="9918"/>
      </w:tblGrid>
      <w:tr>
        <w:trPr/>
        <w:tc>
          <w:tcPr>
            <w:tcW w:w="38"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pPr>
            <w:r>
              <w:rPr>
                <w:position w:val="8"/>
                <w:sz w:val="19"/>
              </w:rPr>
              <w:t>(a)</w:t>
            </w:r>
            <w:r>
              <w:rPr/>
              <w:t> </w:t>
            </w:r>
          </w:p>
        </w:tc>
        <w:tc>
          <w:tcPr>
            <w:tcW w:w="9918" w:type="dxa"/>
            <w:tcBorders/>
            <w:vAlign w:val="center"/>
          </w:tcPr>
          <w:p>
            <w:pPr>
              <w:pStyle w:val="TableContents"/>
              <w:bidi w:val="0"/>
              <w:spacing w:before="0" w:after="283"/>
              <w:jc w:val="both"/>
              <w:rPr/>
            </w:pPr>
            <w:r>
              <w:rPr/>
              <w:t>Other residential revenues includes franchise, regulatory, and customer late fees, service protection fees, Cox Mobile and other miscellaneous revenues.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Operating Costs and Expenses</w:t>
      </w:r>
    </w:p>
    <w:p>
      <w:pPr>
        <w:pStyle w:val="TextBody"/>
        <w:bidi w:val="0"/>
        <w:spacing w:before="0" w:after="0"/>
        <w:ind w:left="0" w:right="0" w:hanging="0"/>
        <w:jc w:val="left"/>
        <w:rPr>
          <w:caps w:val="false"/>
          <w:smallCaps w:val="false"/>
        </w:rPr>
      </w:pPr>
      <w:r>
        <w:rPr>
          <w:caps w:val="false"/>
          <w:smallCaps w:val="false"/>
        </w:rPr>
        <w:t> </w:t>
      </w:r>
    </w:p>
    <w:tbl>
      <w:tblPr>
        <w:tblW w:w="5709" w:type="dxa"/>
        <w:jc w:val="left"/>
        <w:tblInd w:w="0" w:type="dxa"/>
        <w:tblLayout w:type="fixed"/>
        <w:tblCellMar>
          <w:top w:w="0" w:type="dxa"/>
          <w:left w:w="0" w:type="dxa"/>
          <w:bottom w:w="0" w:type="dxa"/>
          <w:right w:w="0" w:type="dxa"/>
        </w:tblCellMar>
      </w:tblPr>
      <w:tblGrid>
        <w:gridCol w:w="2870"/>
        <w:gridCol w:w="60"/>
        <w:gridCol w:w="252"/>
        <w:gridCol w:w="979"/>
        <w:gridCol w:w="121"/>
        <w:gridCol w:w="121"/>
        <w:gridCol w:w="252"/>
        <w:gridCol w:w="979"/>
        <w:gridCol w:w="75"/>
      </w:tblGrid>
      <w:tr>
        <w:trPr/>
        <w:tc>
          <w:tcPr>
            <w:tcW w:w="28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704"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 March 31,</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87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millions)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31"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121" w:type="dxa"/>
            <w:tcBorders/>
            <w:vAlign w:val="center"/>
          </w:tcPr>
          <w:p>
            <w:pPr>
              <w:pStyle w:val="TableContents"/>
              <w:bidi w:val="0"/>
              <w:spacing w:before="0" w:after="283"/>
              <w:jc w:val="left"/>
              <w:rPr>
                <w:caps w:val="false"/>
                <w:smallCaps w:val="false"/>
              </w:rPr>
            </w:pPr>
            <w:r>
              <w:rPr>
                <w:caps w:val="false"/>
                <w:smallCaps w:val="false"/>
              </w:rPr>
              <w:t> </w:t>
            </w:r>
          </w:p>
        </w:tc>
        <w:tc>
          <w:tcPr>
            <w:tcW w:w="121" w:type="dxa"/>
            <w:tcBorders/>
            <w:vAlign w:val="center"/>
          </w:tcPr>
          <w:p>
            <w:pPr>
              <w:pStyle w:val="TableContents"/>
              <w:bidi w:val="0"/>
              <w:spacing w:before="0" w:after="283"/>
              <w:jc w:val="left"/>
              <w:rPr>
                <w:caps w:val="false"/>
                <w:smallCaps w:val="false"/>
              </w:rPr>
            </w:pPr>
            <w:r>
              <w:rPr>
                <w:caps w:val="false"/>
                <w:smallCaps w:val="false"/>
              </w:rPr>
              <w:t> </w:t>
            </w:r>
          </w:p>
        </w:tc>
        <w:tc>
          <w:tcPr>
            <w:tcW w:w="1231"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8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Programming costs</w:t>
              <w:tab/>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7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441</w:t>
            </w:r>
          </w:p>
        </w:tc>
        <w:tc>
          <w:tcPr>
            <w:tcW w:w="12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7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503</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8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costs of revenue</w:t>
              <w:tab/>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272</w:t>
            </w:r>
          </w:p>
        </w:tc>
        <w:tc>
          <w:tcPr>
            <w:tcW w:w="12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284</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8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Field and technology operations</w:t>
              <w:tab/>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230</w:t>
            </w:r>
          </w:p>
        </w:tc>
        <w:tc>
          <w:tcPr>
            <w:tcW w:w="12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256</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8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Customer operations</w:t>
              <w:tab/>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w:t>
            </w:r>
          </w:p>
        </w:tc>
        <w:tc>
          <w:tcPr>
            <w:tcW w:w="12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8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and marketing</w:t>
              <w:tab/>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252</w:t>
            </w:r>
          </w:p>
        </w:tc>
        <w:tc>
          <w:tcPr>
            <w:tcW w:w="12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267</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8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w:t>
              <w:tab/>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7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495</w:t>
            </w:r>
          </w:p>
        </w:tc>
        <w:tc>
          <w:tcPr>
            <w:tcW w:w="12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7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8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operating costs and expenses</w:t>
              <w:tab/>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2"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79"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1,740</w:t>
            </w:r>
          </w:p>
        </w:tc>
        <w:tc>
          <w:tcPr>
            <w:tcW w:w="12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2"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79"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1,922</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Subsequent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has evaluated events that occurred subsequent to March 31, 2026 for potential recognition and disclosure. Any applicable subsequent events have been evaluated through May 5, 2026, the date of issuance of the unaudited Condensed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DIVESTITURE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Pending Divestiture of Cox — </w:t>
      </w:r>
      <w:r>
        <w:rPr>
          <w:rFonts w:ascii="Times New Roman;Times;Serif" w:hAnsi="Times New Roman;Times;Serif"/>
          <w:b w:val="false"/>
          <w:i w:val="false"/>
          <w:caps w:val="false"/>
          <w:smallCaps w:val="false"/>
          <w:sz w:val="20"/>
        </w:rPr>
        <w:t>In May 2025, Charter Communications, Inc. (“Charter”) and Charter Communications Holdings, LLC (“Charter Holdings”) entered into a transaction agreement (“Transaction Agreement”) with CEI. Pursuant to the Transaction Agreement, at the closing of the transactions, (i) CEI will sell and transfer to Charter 100% of the equity interests of certain subsidiaries of Cox that conduct Cox’s commercial fiber and managed IT and cloud services businesses, (ii) CEI will contribute the equity interests of Cox and certain other assets (other than certain excluded assets) primarily relating to Cox’s residential cable business to Charter Holdings, and (iii) CEI will pay $1.00 to Charter (collectively the "Cox Transactions"). The combined entity will assume Cox's approximately $12.4 billion in outstanding net debt and finance leases.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31, 2025, Charter’s shareholders approved the Transaction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SUPPLEMENTAL CASH FLOW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Cox's significant non-cash investing and financing transactions and other supplemental cash flow information are as follows:</w:t>
      </w:r>
    </w:p>
    <w:p>
      <w:pPr>
        <w:pStyle w:val="TextBody"/>
        <w:bidi w:val="0"/>
        <w:spacing w:before="0" w:after="0"/>
        <w:ind w:left="0" w:right="0" w:hanging="0"/>
        <w:jc w:val="left"/>
        <w:rPr>
          <w:caps w:val="false"/>
          <w:smallCaps w:val="false"/>
        </w:rPr>
      </w:pPr>
      <w:r>
        <w:rPr>
          <w:caps w:val="false"/>
          <w:smallCaps w:val="false"/>
        </w:rPr>
        <w:t> </w:t>
      </w:r>
    </w:p>
    <w:tbl>
      <w:tblPr>
        <w:tblW w:w="10014" w:type="dxa"/>
        <w:jc w:val="left"/>
        <w:tblInd w:w="0" w:type="dxa"/>
        <w:tblLayout w:type="fixed"/>
        <w:tblCellMar>
          <w:top w:w="0" w:type="dxa"/>
          <w:left w:w="0" w:type="dxa"/>
          <w:bottom w:w="0" w:type="dxa"/>
          <w:right w:w="0" w:type="dxa"/>
        </w:tblCellMar>
      </w:tblPr>
      <w:tblGrid>
        <w:gridCol w:w="7175"/>
        <w:gridCol w:w="60"/>
        <w:gridCol w:w="325"/>
        <w:gridCol w:w="871"/>
        <w:gridCol w:w="156"/>
        <w:gridCol w:w="156"/>
        <w:gridCol w:w="325"/>
        <w:gridCol w:w="871"/>
        <w:gridCol w:w="75"/>
      </w:tblGrid>
      <w:tr>
        <w:trPr/>
        <w:tc>
          <w:tcPr>
            <w:tcW w:w="71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704"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 March 31,</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17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millions)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96"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156" w:type="dxa"/>
            <w:tcBorders/>
            <w:vAlign w:val="center"/>
          </w:tcPr>
          <w:p>
            <w:pPr>
              <w:pStyle w:val="TableContents"/>
              <w:bidi w:val="0"/>
              <w:spacing w:before="0" w:after="283"/>
              <w:jc w:val="left"/>
              <w:rPr>
                <w:caps w:val="false"/>
                <w:smallCaps w:val="false"/>
              </w:rPr>
            </w:pPr>
            <w:r>
              <w:rPr>
                <w:caps w:val="false"/>
                <w:smallCaps w:val="false"/>
              </w:rPr>
              <w:t> </w:t>
            </w:r>
          </w:p>
        </w:tc>
        <w:tc>
          <w:tcPr>
            <w:tcW w:w="156" w:type="dxa"/>
            <w:tcBorders/>
            <w:vAlign w:val="center"/>
          </w:tcPr>
          <w:p>
            <w:pPr>
              <w:pStyle w:val="TableContents"/>
              <w:bidi w:val="0"/>
              <w:spacing w:before="0" w:after="283"/>
              <w:jc w:val="left"/>
              <w:rPr>
                <w:caps w:val="false"/>
                <w:smallCaps w:val="false"/>
              </w:rPr>
            </w:pPr>
            <w:r>
              <w:rPr>
                <w:caps w:val="false"/>
                <w:smallCaps w:val="false"/>
              </w:rPr>
              <w:t> </w:t>
            </w:r>
          </w:p>
        </w:tc>
        <w:tc>
          <w:tcPr>
            <w:tcW w:w="1196"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1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Significant noncash transactions:</w:t>
            </w:r>
          </w:p>
        </w:tc>
        <w:tc>
          <w:tcPr>
            <w:tcW w:w="60" w:type="dxa"/>
            <w:tcBorders/>
            <w:shd w:fill="CCEEFF" w:val="clear"/>
            <w:vAlign w:val="center"/>
          </w:tcPr>
          <w:p>
            <w:pPr>
              <w:pStyle w:val="TableContents"/>
              <w:bidi w:val="0"/>
              <w:spacing w:before="0" w:after="283"/>
              <w:jc w:val="left"/>
              <w:rPr/>
            </w:pPr>
            <w:r>
              <w:rPr/>
              <w:t> </w:t>
            </w:r>
          </w:p>
        </w:tc>
        <w:tc>
          <w:tcPr>
            <w:tcW w:w="325" w:type="dxa"/>
            <w:tcBorders/>
            <w:shd w:fill="CCEEFF" w:val="clear"/>
            <w:vAlign w:val="center"/>
          </w:tcPr>
          <w:p>
            <w:pPr>
              <w:pStyle w:val="TableContents"/>
              <w:bidi w:val="0"/>
              <w:spacing w:before="0" w:after="283"/>
              <w:jc w:val="left"/>
              <w:rPr/>
            </w:pPr>
            <w:r>
              <w:rPr/>
              <w:t> </w:t>
            </w:r>
          </w:p>
        </w:tc>
        <w:tc>
          <w:tcPr>
            <w:tcW w:w="871" w:type="dxa"/>
            <w:tcBorders/>
            <w:shd w:fill="CCEEFF" w:val="clear"/>
            <w:vAlign w:val="center"/>
          </w:tcPr>
          <w:p>
            <w:pPr>
              <w:pStyle w:val="TableContents"/>
              <w:bidi w:val="0"/>
              <w:spacing w:before="0" w:after="283"/>
              <w:jc w:val="right"/>
              <w:rPr/>
            </w:pPr>
            <w:r>
              <w:rPr/>
              <w:t> </w:t>
            </w:r>
          </w:p>
        </w:tc>
        <w:tc>
          <w:tcPr>
            <w:tcW w:w="156"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325" w:type="dxa"/>
            <w:tcBorders/>
            <w:shd w:fill="CCEEFF" w:val="clear"/>
            <w:vAlign w:val="center"/>
          </w:tcPr>
          <w:p>
            <w:pPr>
              <w:pStyle w:val="TableContents"/>
              <w:bidi w:val="0"/>
              <w:spacing w:before="0" w:after="283"/>
              <w:jc w:val="left"/>
              <w:rPr/>
            </w:pPr>
            <w:r>
              <w:rPr/>
              <w:t> </w:t>
            </w:r>
          </w:p>
        </w:tc>
        <w:tc>
          <w:tcPr>
            <w:tcW w:w="871"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71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Contribution to capital from Cox Enterprises, Inc.</w:t>
              <w:tab/>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7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w:t>
            </w:r>
          </w:p>
        </w:tc>
        <w:tc>
          <w:tcPr>
            <w:tcW w:w="15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71"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1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and equipment acquired under finance leases and other financing arrangements</w:t>
              <w:tab/>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71"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15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7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1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5"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right"/>
              <w:rPr/>
            </w:pPr>
            <w:r>
              <w:rPr/>
              <w:t> </w:t>
            </w:r>
          </w:p>
        </w:tc>
        <w:tc>
          <w:tcPr>
            <w:tcW w:w="156"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325"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71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Supplemental cash flow information:</w:t>
            </w:r>
          </w:p>
        </w:tc>
        <w:tc>
          <w:tcPr>
            <w:tcW w:w="60" w:type="dxa"/>
            <w:tcBorders/>
            <w:shd w:fill="CCEEFF" w:val="clear"/>
            <w:vAlign w:val="center"/>
          </w:tcPr>
          <w:p>
            <w:pPr>
              <w:pStyle w:val="TableContents"/>
              <w:bidi w:val="0"/>
              <w:spacing w:before="0" w:after="283"/>
              <w:jc w:val="left"/>
              <w:rPr/>
            </w:pPr>
            <w:r>
              <w:rPr/>
              <w:t> </w:t>
            </w:r>
          </w:p>
        </w:tc>
        <w:tc>
          <w:tcPr>
            <w:tcW w:w="325" w:type="dxa"/>
            <w:tcBorders/>
            <w:shd w:fill="CCEEFF" w:val="clear"/>
            <w:vAlign w:val="center"/>
          </w:tcPr>
          <w:p>
            <w:pPr>
              <w:pStyle w:val="TableContents"/>
              <w:bidi w:val="0"/>
              <w:spacing w:before="0" w:after="283"/>
              <w:jc w:val="left"/>
              <w:rPr/>
            </w:pPr>
            <w:r>
              <w:rPr/>
              <w:t> </w:t>
            </w:r>
          </w:p>
        </w:tc>
        <w:tc>
          <w:tcPr>
            <w:tcW w:w="871" w:type="dxa"/>
            <w:tcBorders/>
            <w:shd w:fill="CCEEFF" w:val="clear"/>
            <w:vAlign w:val="center"/>
          </w:tcPr>
          <w:p>
            <w:pPr>
              <w:pStyle w:val="TableContents"/>
              <w:bidi w:val="0"/>
              <w:spacing w:before="0" w:after="283"/>
              <w:jc w:val="right"/>
              <w:rPr/>
            </w:pPr>
            <w:r>
              <w:rPr/>
              <w:t> </w:t>
            </w:r>
          </w:p>
        </w:tc>
        <w:tc>
          <w:tcPr>
            <w:tcW w:w="156"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325" w:type="dxa"/>
            <w:tcBorders/>
            <w:shd w:fill="CCEEFF" w:val="clear"/>
            <w:vAlign w:val="center"/>
          </w:tcPr>
          <w:p>
            <w:pPr>
              <w:pStyle w:val="TableContents"/>
              <w:bidi w:val="0"/>
              <w:spacing w:before="0" w:after="283"/>
              <w:jc w:val="left"/>
              <w:rPr/>
            </w:pPr>
            <w:r>
              <w:rPr/>
              <w:t> </w:t>
            </w:r>
          </w:p>
        </w:tc>
        <w:tc>
          <w:tcPr>
            <w:tcW w:w="871"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71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paid for interest</w:t>
              <w:tab/>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7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166</w:t>
            </w:r>
          </w:p>
        </w:tc>
        <w:tc>
          <w:tcPr>
            <w:tcW w:w="15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7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178</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1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Cash paid for income taxes </w:t>
            </w:r>
            <w:r>
              <w:rPr>
                <w:rFonts w:ascii="Times New Roman;Times;Serif" w:hAnsi="Times New Roman;Times;Serif"/>
                <w:b w:val="false"/>
                <w:i w:val="false"/>
                <w:caps w:val="false"/>
                <w:smallCaps w:val="false"/>
                <w:position w:val="7"/>
                <w:sz w:val="16"/>
                <w:sz w:val="20"/>
              </w:rPr>
              <w:t>(a)</w:t>
            </w:r>
            <w:r>
              <w:rPr>
                <w:rFonts w:ascii="Times New Roman;Times;Serif" w:hAnsi="Times New Roman;Times;Serif"/>
                <w:b w:val="false"/>
                <w:i w:val="false"/>
                <w:caps w:val="false"/>
                <w:smallCaps w:val="false"/>
                <w:sz w:val="20"/>
              </w:rPr>
              <w:tab/>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7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127</w:t>
            </w:r>
          </w:p>
        </w:tc>
        <w:tc>
          <w:tcPr>
            <w:tcW w:w="15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7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138</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4"/>
        <w:gridCol w:w="9943"/>
      </w:tblGrid>
      <w:tr>
        <w:trPr/>
        <w:tc>
          <w:tcPr>
            <w:tcW w:w="38"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pPr>
            <w:r>
              <w:rPr>
                <w:position w:val="8"/>
                <w:sz w:val="19"/>
              </w:rPr>
              <w:t>(a)</w:t>
            </w:r>
            <w:r>
              <w:rPr/>
              <w:t> </w:t>
            </w:r>
          </w:p>
        </w:tc>
        <w:tc>
          <w:tcPr>
            <w:tcW w:w="9943" w:type="dxa"/>
            <w:tcBorders/>
            <w:vAlign w:val="center"/>
          </w:tcPr>
          <w:p>
            <w:pPr>
              <w:pStyle w:val="TableContents"/>
              <w:bidi w:val="0"/>
              <w:spacing w:before="0" w:after="283"/>
              <w:jc w:val="both"/>
              <w:rPr/>
            </w:pPr>
            <w:r>
              <w:rPr/>
              <w:t>The amounts disclosed as income taxes paid include both cash tax payments made directly to taxing authorities and payments made by Cox to its parent in settlement of its share of consolidated income tax obligations.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      RESTRUCTURING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2024, Cox announced a new organizational structure, which allocates needed resources to growth areas of the business. As a result, certain restructuring initiatives were implemented, which include severance costs. Restructuring related charges are recorded to other — net on the Condensed Consolidated Statement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represents the changes in the balances of the restructuring-related liabilities, which are reflected within accrued compensation and benefits in the Condensed Consolidated Balance Sheets as of March 31, 2026 and December 31, 2025.</w:t>
      </w:r>
    </w:p>
    <w:p>
      <w:pPr>
        <w:pStyle w:val="TextBody"/>
        <w:bidi w:val="0"/>
        <w:spacing w:before="0" w:after="0"/>
        <w:ind w:left="0" w:right="0" w:hanging="0"/>
        <w:jc w:val="left"/>
        <w:rPr>
          <w:caps w:val="false"/>
          <w:smallCaps w:val="false"/>
        </w:rPr>
      </w:pPr>
      <w:r>
        <w:rPr>
          <w:caps w:val="false"/>
          <w:smallCaps w:val="false"/>
        </w:rPr>
        <w:t> </w:t>
      </w:r>
    </w:p>
    <w:tbl>
      <w:tblPr>
        <w:tblW w:w="5843" w:type="dxa"/>
        <w:jc w:val="left"/>
        <w:tblInd w:w="0" w:type="dxa"/>
        <w:tblLayout w:type="fixed"/>
        <w:tblCellMar>
          <w:top w:w="0" w:type="dxa"/>
          <w:left w:w="0" w:type="dxa"/>
          <w:bottom w:w="28" w:type="dxa"/>
          <w:right w:w="0" w:type="dxa"/>
        </w:tblCellMar>
      </w:tblPr>
      <w:tblGrid>
        <w:gridCol w:w="2555"/>
        <w:gridCol w:w="60"/>
        <w:gridCol w:w="438"/>
        <w:gridCol w:w="916"/>
        <w:gridCol w:w="80"/>
        <w:gridCol w:w="60"/>
        <w:gridCol w:w="393"/>
        <w:gridCol w:w="1246"/>
        <w:gridCol w:w="95"/>
      </w:tblGrid>
      <w:tr>
        <w:trPr/>
        <w:tc>
          <w:tcPr>
            <w:tcW w:w="2555"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millions)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54"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 2026</w:t>
            </w:r>
          </w:p>
        </w:tc>
        <w:tc>
          <w:tcPr>
            <w:tcW w:w="8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39"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2025</w:t>
            </w:r>
          </w:p>
        </w:tc>
        <w:tc>
          <w:tcPr>
            <w:tcW w:w="9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55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Balance at beginning of period</w:t>
              <w:tab/>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38"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16"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93"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46"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180</w:t>
            </w:r>
          </w:p>
        </w:tc>
        <w:tc>
          <w:tcPr>
            <w:tcW w:w="9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55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Expense</w:t>
            </w:r>
            <w:r>
              <w:rPr>
                <w:rFonts w:ascii="Times New Roman;Times;Serif" w:hAnsi="Times New Roman;Times;Serif"/>
                <w:b w:val="false"/>
                <w:i w:val="false"/>
                <w:caps w:val="false"/>
                <w:smallCaps w:val="false"/>
                <w:position w:val="7"/>
                <w:sz w:val="16"/>
                <w:sz w:val="20"/>
              </w:rPr>
              <w:t>(a)</w:t>
            </w:r>
            <w:r>
              <w:rPr>
                <w:rFonts w:ascii="Times New Roman;Times;Serif" w:hAnsi="Times New Roman;Times;Serif"/>
                <w:b w:val="false"/>
                <w:i w:val="false"/>
                <w:caps w:val="false"/>
                <w:smallCaps w:val="false"/>
                <w:sz w:val="20"/>
              </w:rPr>
              <w:tab/>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38"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16"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93"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46"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55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Payments</w:t>
              <w:tab/>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38"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6"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93"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46"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(176</w:t>
            </w:r>
          </w:p>
        </w:tc>
        <w:tc>
          <w:tcPr>
            <w:tcW w:w="9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55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Balance at end of period</w:t>
              <w:tab/>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38" w:type="dxa"/>
            <w:tcBorders>
              <w:bottom w:val="double" w:sz="6" w:space="0" w:color="000000"/>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16" w:type="dxa"/>
            <w:tcBorders>
              <w:bottom w:val="double" w:sz="6"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93" w:type="dxa"/>
            <w:tcBorders>
              <w:bottom w:val="double" w:sz="6" w:space="0" w:color="000000"/>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46" w:type="dxa"/>
            <w:tcBorders>
              <w:bottom w:val="double" w:sz="6"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(a) </w:t>
      </w:r>
      <w:r>
        <w:rPr>
          <w:rFonts w:ascii="Times New Roman;Times;Serif" w:hAnsi="Times New Roman;Times;Serif"/>
          <w:b w:val="false"/>
          <w:i w:val="false"/>
          <w:caps w:val="false"/>
          <w:smallCaps w:val="false"/>
          <w:sz w:val="20"/>
        </w:rPr>
        <w:t>Restructuring-related charges were recorded to other — net on the Condensed Consolidated Statement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      DEBT</w:t>
      </w:r>
    </w:p>
    <w:p>
      <w:pPr>
        <w:pStyle w:val="TextBody"/>
        <w:bidi w:val="0"/>
        <w:spacing w:before="0" w:after="0"/>
        <w:ind w:left="0" w:right="0" w:hanging="0"/>
        <w:jc w:val="left"/>
        <w:rPr>
          <w:caps w:val="false"/>
          <w:smallCaps w:val="false"/>
        </w:rPr>
      </w:pPr>
      <w:r>
        <w:rPr>
          <w:caps w:val="false"/>
          <w:smallCaps w:val="false"/>
        </w:rPr>
        <w:t> </w:t>
      </w:r>
    </w:p>
    <w:tbl>
      <w:tblPr>
        <w:tblW w:w="10168" w:type="dxa"/>
        <w:jc w:val="left"/>
        <w:tblInd w:w="0" w:type="dxa"/>
        <w:tblLayout w:type="fixed"/>
        <w:tblCellMar>
          <w:top w:w="0" w:type="dxa"/>
          <w:left w:w="0" w:type="dxa"/>
          <w:bottom w:w="0" w:type="dxa"/>
          <w:right w:w="0" w:type="dxa"/>
        </w:tblCellMar>
      </w:tblPr>
      <w:tblGrid>
        <w:gridCol w:w="4700"/>
        <w:gridCol w:w="60"/>
        <w:gridCol w:w="1370"/>
        <w:gridCol w:w="60"/>
        <w:gridCol w:w="142"/>
        <w:gridCol w:w="673"/>
        <w:gridCol w:w="80"/>
        <w:gridCol w:w="60"/>
        <w:gridCol w:w="163"/>
        <w:gridCol w:w="771"/>
        <w:gridCol w:w="60"/>
        <w:gridCol w:w="60"/>
        <w:gridCol w:w="142"/>
        <w:gridCol w:w="673"/>
        <w:gridCol w:w="83"/>
        <w:gridCol w:w="62"/>
        <w:gridCol w:w="162"/>
        <w:gridCol w:w="772"/>
        <w:gridCol w:w="75"/>
      </w:tblGrid>
      <w:tr>
        <w:trPr/>
        <w:tc>
          <w:tcPr>
            <w:tcW w:w="47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889"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 2026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894"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2025</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70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millions)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7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Annual Interest </w:t>
              <w:br/>
              <w:t>Rate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Carrying</w:t>
              <w:br/>
              <w:t>Value</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3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Fair Value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Carrying</w:t>
              <w:br/>
              <w:t>Value</w:t>
            </w:r>
          </w:p>
        </w:tc>
        <w:tc>
          <w:tcPr>
            <w:tcW w:w="83" w:type="dxa"/>
            <w:tcBorders/>
            <w:vAlign w:val="center"/>
          </w:tcPr>
          <w:p>
            <w:pPr>
              <w:pStyle w:val="TableContents"/>
              <w:bidi w:val="0"/>
              <w:spacing w:before="0" w:after="283"/>
              <w:jc w:val="left"/>
              <w:rPr>
                <w:caps w:val="false"/>
                <w:smallCaps w:val="false"/>
              </w:rPr>
            </w:pPr>
            <w:r>
              <w:rPr>
                <w:caps w:val="false"/>
                <w:smallCaps w:val="false"/>
              </w:rPr>
              <w:t> </w:t>
            </w:r>
          </w:p>
        </w:tc>
        <w:tc>
          <w:tcPr>
            <w:tcW w:w="62" w:type="dxa"/>
            <w:tcBorders/>
            <w:vAlign w:val="center"/>
          </w:tcPr>
          <w:p>
            <w:pPr>
              <w:pStyle w:val="TableContents"/>
              <w:bidi w:val="0"/>
              <w:spacing w:before="0" w:after="283"/>
              <w:jc w:val="left"/>
              <w:rPr>
                <w:caps w:val="false"/>
                <w:smallCaps w:val="false"/>
              </w:rPr>
            </w:pPr>
            <w:r>
              <w:rPr>
                <w:caps w:val="false"/>
                <w:smallCaps w:val="false"/>
              </w:rPr>
              <w:t> </w:t>
            </w:r>
          </w:p>
        </w:tc>
        <w:tc>
          <w:tcPr>
            <w:tcW w:w="93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Fair Value</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7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Notes and debentures with maturities </w:t>
            </w:r>
            <w:r>
              <w:rPr>
                <w:rFonts w:ascii="Times New Roman;Times;Serif" w:hAnsi="Times New Roman;Times;Serif"/>
                <w:b w:val="false"/>
                <w:i w:val="false"/>
                <w:caps w:val="false"/>
                <w:smallCaps w:val="false"/>
                <w:position w:val="7"/>
                <w:sz w:val="16"/>
                <w:sz w:val="20"/>
              </w:rPr>
              <w:t>(a)</w:t>
            </w: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pPr>
            <w:r>
              <w:rPr/>
              <w:t> </w:t>
            </w:r>
          </w:p>
        </w:tc>
        <w:tc>
          <w:tcPr>
            <w:tcW w:w="13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673"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77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673" w:type="dxa"/>
            <w:tcBorders/>
            <w:shd w:fill="CCEEFF" w:val="clear"/>
            <w:vAlign w:val="center"/>
          </w:tcPr>
          <w:p>
            <w:pPr>
              <w:pStyle w:val="TableContents"/>
              <w:bidi w:val="0"/>
              <w:spacing w:before="0" w:after="283"/>
              <w:jc w:val="right"/>
              <w:rPr/>
            </w:pPr>
            <w:r>
              <w:rPr/>
              <w:t> </w:t>
            </w:r>
          </w:p>
        </w:tc>
        <w:tc>
          <w:tcPr>
            <w:tcW w:w="83"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772"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7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Five years or less</w:t>
              <w:tab/>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7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1.80% to 6.95%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7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3,889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7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7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3,889</w:t>
            </w:r>
          </w:p>
        </w:tc>
        <w:tc>
          <w:tcPr>
            <w:tcW w:w="8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7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3,160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7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Between five and 10 years</w:t>
              <w:tab/>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7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2.60% to 5.70%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3,000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2,813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3,000</w:t>
            </w:r>
          </w:p>
        </w:tc>
        <w:tc>
          <w:tcPr>
            <w:tcW w:w="8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3,514</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7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Greater than 10 years</w:t>
              <w:tab/>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7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2.95% to 8.38%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7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4,960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7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3,875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7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4,960</w:t>
            </w:r>
          </w:p>
        </w:tc>
        <w:tc>
          <w:tcPr>
            <w:tcW w:w="8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7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3,957</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7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notes and debentures</w:t>
              <w:tab/>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11,849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3"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71"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10,488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11,849</w:t>
            </w:r>
          </w:p>
        </w:tc>
        <w:tc>
          <w:tcPr>
            <w:tcW w:w="8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72"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10,631</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7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Finance lease obligations </w:t>
            </w:r>
            <w:r>
              <w:rPr>
                <w:rFonts w:ascii="Times New Roman;Times;Serif" w:hAnsi="Times New Roman;Times;Serif"/>
                <w:b w:val="false"/>
                <w:i w:val="false"/>
                <w:caps w:val="false"/>
                <w:smallCaps w:val="false"/>
                <w:position w:val="7"/>
                <w:sz w:val="16"/>
                <w:sz w:val="20"/>
              </w:rPr>
              <w:t>(b)(c)</w:t>
            </w:r>
            <w:r>
              <w:rPr>
                <w:rFonts w:ascii="Times New Roman;Times;Serif" w:hAnsi="Times New Roman;Times;Serif"/>
                <w:b w:val="false"/>
                <w:i w:val="false"/>
                <w:caps w:val="false"/>
                <w:smallCaps w:val="false"/>
                <w:sz w:val="20"/>
              </w:rPr>
              <w:tab/>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7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0.47% to 8.24%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771"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737</w:t>
            </w:r>
          </w:p>
        </w:tc>
        <w:tc>
          <w:tcPr>
            <w:tcW w:w="8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772"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7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Less unamortized discounts, premiums and issuance costs</w:t>
              <w:tab/>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7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77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7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w:t>
            </w:r>
          </w:p>
        </w:tc>
        <w:tc>
          <w:tcPr>
            <w:tcW w:w="8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2"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772"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7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debt</w:t>
              <w:tab/>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12,506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771"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12,512</w:t>
            </w:r>
          </w:p>
        </w:tc>
        <w:tc>
          <w:tcPr>
            <w:tcW w:w="8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772"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7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Less current maturities </w:t>
            </w:r>
            <w:r>
              <w:rPr>
                <w:rFonts w:ascii="Times New Roman;Times;Serif" w:hAnsi="Times New Roman;Times;Serif"/>
                <w:b w:val="false"/>
                <w:i w:val="false"/>
                <w:caps w:val="false"/>
                <w:smallCaps w:val="false"/>
                <w:position w:val="7"/>
                <w:sz w:val="16"/>
                <w:sz w:val="20"/>
              </w:rPr>
              <w:t>(b)</w:t>
            </w:r>
            <w:r>
              <w:rPr>
                <w:rFonts w:ascii="Times New Roman;Times;Serif" w:hAnsi="Times New Roman;Times;Serif"/>
                <w:b w:val="false"/>
                <w:i w:val="false"/>
                <w:caps w:val="false"/>
                <w:smallCaps w:val="false"/>
                <w:sz w:val="20"/>
              </w:rPr>
              <w:tab/>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7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77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7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1,038</w:t>
            </w:r>
          </w:p>
        </w:tc>
        <w:tc>
          <w:tcPr>
            <w:tcW w:w="8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772"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7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long-term debt</w:t>
              <w:tab/>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73"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11,464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771"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73"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11,474</w:t>
            </w:r>
          </w:p>
        </w:tc>
        <w:tc>
          <w:tcPr>
            <w:tcW w:w="8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772"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67"/>
        <w:gridCol w:w="9900"/>
      </w:tblGrid>
      <w:tr>
        <w:trPr/>
        <w:tc>
          <w:tcPr>
            <w:tcW w:w="38"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pPr>
            <w:r>
              <w:rPr>
                <w:position w:val="8"/>
                <w:sz w:val="19"/>
              </w:rPr>
              <w:t>(a)</w:t>
            </w:r>
            <w:r>
              <w:rPr/>
              <w:t> </w:t>
            </w:r>
          </w:p>
        </w:tc>
        <w:tc>
          <w:tcPr>
            <w:tcW w:w="9900" w:type="dxa"/>
            <w:tcBorders/>
            <w:vAlign w:val="center"/>
          </w:tcPr>
          <w:p>
            <w:pPr>
              <w:pStyle w:val="TableContents"/>
              <w:bidi w:val="0"/>
              <w:spacing w:before="0" w:after="283"/>
              <w:jc w:val="both"/>
              <w:rPr/>
            </w:pPr>
            <w:r>
              <w:rPr/>
              <w:t>Require semi-annual cash interest payments based on their issuance dates.</w:t>
            </w:r>
          </w:p>
        </w:tc>
      </w:tr>
      <w:tr>
        <w:trPr/>
        <w:tc>
          <w:tcPr>
            <w:tcW w:w="38"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pPr>
            <w:r>
              <w:rPr>
                <w:position w:val="8"/>
                <w:sz w:val="19"/>
              </w:rPr>
              <w:t>(b)</w:t>
            </w:r>
            <w:r>
              <w:rPr/>
              <w:t> </w:t>
            </w:r>
          </w:p>
        </w:tc>
        <w:tc>
          <w:tcPr>
            <w:tcW w:w="9900" w:type="dxa"/>
            <w:tcBorders/>
            <w:vAlign w:val="center"/>
          </w:tcPr>
          <w:p>
            <w:pPr>
              <w:pStyle w:val="TableContents"/>
              <w:bidi w:val="0"/>
              <w:spacing w:before="0" w:after="283"/>
              <w:jc w:val="both"/>
              <w:rPr/>
            </w:pPr>
            <w:r>
              <w:rPr/>
              <w:t>Current portion of finance lease obligations totaled $42 million and $38 million as of March 31, 2026 and December 31, 2025, respectively.</w:t>
            </w:r>
          </w:p>
        </w:tc>
      </w:tr>
      <w:tr>
        <w:trPr/>
        <w:tc>
          <w:tcPr>
            <w:tcW w:w="38"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pPr>
            <w:r>
              <w:rPr>
                <w:position w:val="8"/>
                <w:sz w:val="19"/>
              </w:rPr>
              <w:t>(c)</w:t>
            </w:r>
            <w:r>
              <w:rPr/>
              <w:t> </w:t>
            </w:r>
          </w:p>
        </w:tc>
        <w:tc>
          <w:tcPr>
            <w:tcW w:w="9900" w:type="dxa"/>
            <w:tcBorders/>
            <w:vAlign w:val="center"/>
          </w:tcPr>
          <w:p>
            <w:pPr>
              <w:pStyle w:val="TableContents"/>
              <w:bidi w:val="0"/>
              <w:spacing w:before="0" w:after="283"/>
              <w:jc w:val="both"/>
              <w:rPr/>
            </w:pPr>
            <w:r>
              <w:rPr/>
              <w:t>Cox leases certain office facilities, cable transmission and distribution facilities, customer premise equipment and automobiles under finance leases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Guarantee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is a party to an amended and restated credit agreement among Cox and CEI, as borrowers, and JP Morgan Chase Bank, N.A., as administrative agent, and certain other lenders and agents (the “Credit Facility”). CEI designated Cox as a restricted subsidiary under the Credit Facility. At the same time, Cox provided an unconditional guarantee of CEI’s obligations under the Credit Facility and CEI also provided an unconditional guarantee of Cox's obligations under the Credit Facility, which will be automatically released upon the release of Cox's guarantee of CEI's obligations under the Credit Facility. Cox will also guarantee CEI’s obligations under CEI’s commercial paper program. As of March 31, 2026 and December 31, 2025, CEI had no outstanding obligations under the Credit Facility and no outstanding commercial paper subject to Cox’s guarantee.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Cox and CEI provide unconditional cross-guarantees of the other’s obligations under each company’s respective outstanding notes (except for Cox's 6.53% debentures due 2028, of which no material amounts are outstanding). CEI and Cox may release their obligations under the cross-guarantee simultaneously with the other party’s release or in other customary circumstances. As of March 31, 2026 and December 31, 2025, CEI had $175 million of outstanding notes subject to Cox's guarantee.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      COMMITMENTS AND CONTINGENCIES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time of divesting an ownership interest in an entity, Cox sometimes agrees to indemnify the buyer for certain liability risks. Cox believes that any liability to the Company that may arise as a result of such indemnification agreements will not have a material adverse effect on the company taken as a whole.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Legal Proceedings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Sony Music et al.</w:t>
      </w:r>
      <w:r>
        <w:rPr>
          <w:rFonts w:ascii="Times New Roman;Times;Serif" w:hAnsi="Times New Roman;Times;Serif"/>
          <w:b w:val="false"/>
          <w:i w:val="false"/>
          <w:caps w:val="false"/>
          <w:smallCaps w:val="false"/>
          <w:sz w:val="20"/>
        </w:rPr>
        <w:t xml:space="preserve"> — In July 2018, Sony Music Entertainment Inc., Warner Bros. Records Inc., Universal Music Corp. and several other music publishers and recording companies filed a copyright infringement lawsuit against Cox. The plaintiffs allege that Cox’s practices of handling Digital Millennium Copyright Act notices resulted in willful copyright infringement with respect to thousands of songs. Plaintiffs are seeking monetary damages.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2019, a jury returned a verdict of $1.0 billion against Cox, and a finding of contributory infringement, vicarious infringement and willfulness. Following various post-trial motions, Cox appealed to the United States Court of Appeals for the Fourth Circuit. In addition to the merits appeal, Cox filed two Rule 60 motions in the trial court seeking relief from the verdict; those Rule 60 motions were heard and denied by the trial court in March 2022. Cox appealed the Rule 60 rulings to the Fourth Circuit, which held the Rule 60 appeal in abeyance until after the merits appeal. In February 2024, the Fourth Circuit affirmed the jury's finding of willful contributory infringement but reversed the jury's finding of vicarious liability and vacated the $1.0 billion judgment against Cox. Both parties' petitions for a rehearing en banc were denied by the Fourth Circuit. Cox also filed motions in the Fourth Circuit seeking partial appellate costs and an update regarding the Rule 60 appeal. Briefing concluded in the Rule 60 appeal in September 2024. Cox filed an unopposed motion to release the appeal bond, which was granted in May 2024. Cox’s motion for costs on the judgment bond was denied in August 2024. The trial proceeding has been stayed by the Fourth Circuit until the resolution of the Rule 60 appeal. In November 2024, in response to writs of certiorari filed by both parties, the United States Supreme Court called for the view of the United States Solicitor General. In May 2025, the United States Solicitor General submitted its brief amicus curiae recommending that Cox’s writ of certiorari be granted and Sony’s writ of certiorari be denied. In June 2025, the United States Supreme Court granted Cox’s writ of certiorari and denied Sony’s writ of certiorari. Cox’s opening brief was filed in August 2025. Oral argument was held in December 2025. In March 2026, the United States Supreme Court reversed the Fourth Circuit's judgment, holding that as a matter of law, Cox’s conduct did not meet the standard for contributory copyright infringement. Following remand to the Fourth Circuit, Cox expects the Fourth Circuit to vacate its opinion, then enter its own judgment reversing and directing the district court to enter judgment in Cox’s favor. After a mandate issues from the Fourth Circuit, the district court should also enter judgment for Cox.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TQ Delta —</w:t>
      </w:r>
      <w:r>
        <w:rPr>
          <w:rFonts w:ascii="Times New Roman;Times;Serif" w:hAnsi="Times New Roman;Times;Serif"/>
          <w:b w:val="false"/>
          <w:i w:val="false"/>
          <w:caps w:val="false"/>
          <w:smallCaps w:val="false"/>
          <w:sz w:val="20"/>
        </w:rPr>
        <w:t xml:space="preserve"> In July 2015, TQ Delta filed an action against Cox alleging patent infringement of eight patents related to the Multimedia over Coax Alliance standard, parts of which are alleged to be implemented in Whole Home DVR. The plaintiff voluntarily dropped two patents in response to the court’s requirement that the number of claims be reduced. Inter Partes Reviews ("IPRs") were filed against the remaining six patents. The Patent Trial and Appeal Board invalidated four of the patents during the IPR proceeding, but two patents survived on appeal to the United States Court of Appeal for the Federal Circuit. The parties have engaged in expert discovery and are awaiting rulings on claim construction and summary judgment. Trial is scheduled for October 2027. The outcome of this matter cannot be predicted at this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Entropic —</w:t>
      </w:r>
      <w:r>
        <w:rPr>
          <w:rFonts w:ascii="Times New Roman;Times;Serif" w:hAnsi="Times New Roman;Times;Serif"/>
          <w:b w:val="false"/>
          <w:i w:val="false"/>
          <w:caps w:val="false"/>
          <w:smallCaps w:val="false"/>
          <w:sz w:val="20"/>
        </w:rPr>
        <w:t xml:space="preserve"> In February 2023, Entropic Communications filed two separate actions against Cox alleging patent infringement. The first case was brought with twelve patents and was related to the Multimedia over Coax Alliance standard. The second case was brought with ten patents with allegations related to the DOCSIS ("Data Over Cable Service Interface Speculation") and DOCSIS adjacent technologies. Through patent challenges brought both with the Court and the Patent Trial and Appeals Board ("PTAB"), sixteen patents were effectively invalidated. Entropic is in the process of appealing the rulings of invalidity issued by the U.S. Patent Office to the Federal Circuit. There has been no activity in these cases beyond Claim Construction hearings and no schedule has been set in either case. The outcome of this matter cannot be predicted at this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Other Patent Matters —</w:t>
      </w:r>
      <w:r>
        <w:rPr>
          <w:rFonts w:ascii="Times New Roman;Times;Serif" w:hAnsi="Times New Roman;Times;Serif"/>
          <w:b w:val="false"/>
          <w:i w:val="false"/>
          <w:caps w:val="false"/>
          <w:smallCaps w:val="false"/>
          <w:sz w:val="20"/>
        </w:rPr>
        <w:t xml:space="preserve"> Cox is a defendant or co-defendant in several lawsuits involving alleged infringement of various patents relating to various aspects of its businesses. In the event that a court ultimately determines that Cox infringes on any intellectual property rights, Cox may be subject to substantial damages and/or an injunction that could require Cox or its vendors to modify certain products and services Cox offers to its subscribers, as well as negotiate royalty or license agreements with respect to the patents at issue. While Cox intends to vigorously defend the actions, no assurance can be given that any adverse outcome would not be material to Cox's Condensed Consolidated Financial Statements. Cox cannot predict the outcome of any of these matters nor can it reasonably estimate a range of possible loss at this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Other Legal Proceedings</w:t>
      </w:r>
      <w:r>
        <w:rPr>
          <w:rFonts w:ascii="Times New Roman;Times;Serif" w:hAnsi="Times New Roman;Times;Serif"/>
          <w:b w:val="false"/>
          <w:i w:val="false"/>
          <w:caps w:val="false"/>
          <w:smallCaps w:val="false"/>
          <w:sz w:val="20"/>
        </w:rPr>
        <w:t xml:space="preserve"> — Cox and its subsidiaries are parties to various other legal proceedings that are ordinary and incidental to their businesses.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      FAIR VALUE MEASUREMENTS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measures certain financial assets and liabilities at fair value on a recurring basis and also measures certain nonfinancial assets at fair value on a nonrecurring basis. Fair value is defined as an exit price, representing the amount that would be received to sell an asset or paid to transfer a liability in an orderly transaction between market participants. Fair value is a market-based measurement that is determined based on assumptions that market participants would use in pricing an asset or liability as defined in the below fair value hierarchy: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Level 1 </w:t>
      </w:r>
      <w:r>
        <w:rPr>
          <w:rFonts w:ascii="Times New Roman;Times;Serif" w:hAnsi="Times New Roman;Times;Serif"/>
          <w:b w:val="false"/>
          <w:i w:val="false"/>
          <w:caps w:val="false"/>
          <w:smallCaps w:val="false"/>
          <w:sz w:val="20"/>
        </w:rPr>
        <w:t>— Observable inputs such as quoted prices in active markets;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0" w:right="0" w:hanging="108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Level 2 </w:t>
      </w:r>
      <w:r>
        <w:rPr>
          <w:rFonts w:ascii="Times New Roman;Times;Serif" w:hAnsi="Times New Roman;Times;Serif"/>
          <w:b w:val="false"/>
          <w:i w:val="false"/>
          <w:caps w:val="false"/>
          <w:smallCaps w:val="false"/>
          <w:sz w:val="20"/>
        </w:rPr>
        <w:t>— Inputs, other than quoted prices in active markets, that are observable either directly or indirectly;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0" w:right="0" w:hanging="108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Level 3 </w:t>
      </w:r>
      <w:r>
        <w:rPr>
          <w:rFonts w:ascii="Times New Roman;Times;Serif" w:hAnsi="Times New Roman;Times;Serif"/>
          <w:b w:val="false"/>
          <w:i w:val="false"/>
          <w:caps w:val="false"/>
          <w:smallCaps w:val="false"/>
          <w:sz w:val="20"/>
        </w:rPr>
        <w:t>— Unobservable inputs in which there is little or no market data, which require an entity to develop its own assumptions.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Recurring Fair Value Measurements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Cash Equivalents — </w:t>
      </w:r>
      <w:r>
        <w:rPr>
          <w:rFonts w:ascii="Times New Roman;Times;Serif" w:hAnsi="Times New Roman;Times;Serif"/>
          <w:b w:val="false"/>
          <w:i w:val="false"/>
          <w:caps w:val="false"/>
          <w:smallCaps w:val="false"/>
          <w:sz w:val="20"/>
        </w:rPr>
        <w:t>Cox's cash equivalents are measured at fair value on a recurring basis and generally consist of money market funds, time deposits and commercial paper. The fair values of Cox's cash equivalents fall within Level 1 of the fair value hierarchy and are based on a market approach using quoted prices and other relevant information generated by market transactions involving identical or comparable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Debt — </w:t>
      </w:r>
      <w:r>
        <w:rPr>
          <w:rFonts w:ascii="Times New Roman;Times;Serif" w:hAnsi="Times New Roman;Times;Serif"/>
          <w:b w:val="false"/>
          <w:i w:val="false"/>
          <w:caps w:val="false"/>
          <w:smallCaps w:val="false"/>
          <w:sz w:val="20"/>
        </w:rPr>
        <w:t>Cox's notes and debentures as of March 31, 2026 and December 31, 2025 is based on inputs other than quoted prices in active markets, that are observable either directly or indirectly and are classified within Level 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Other Financial Instruments</w:t>
      </w:r>
      <w:r>
        <w:rPr>
          <w:rFonts w:ascii="Times New Roman;Times;Serif" w:hAnsi="Times New Roman;Times;Serif"/>
          <w:b w:val="false"/>
          <w:i w:val="false"/>
          <w:caps w:val="false"/>
          <w:smallCaps w:val="false"/>
          <w:sz w:val="20"/>
        </w:rPr>
        <w:t xml:space="preserve"> — The carrying amounts of the Cox’s accounts receivable, accounts payable and other current assets and liabilities approximate fair value due to their short-term maturities and/or nature of these instruments.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Non-Recurring Fair Value Measurements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Cox's nonfinancial assets (such as property and equipment, goodwill and intangible assets), equity method investments and nonmarketable equity securities are not measured at fair value on a recurring basis; however, they are subject to fair value adjustments in certain circumstances, such as when there is evidence that an impairment may exist. Inputs used in these fair value measurements are often unobservable and may require judgment, which could affect the ascribed fair values.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      TRANSACTIONS WITH AFFILIATED COMPANIES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all periods presented in the Condensed Consolidated Financial Statements, related party transactions and activities between Cox, CEI and other CEI subsidiaries may not have been consummated on terms equivalent to those that would prevail in an arm’s-length transaction where conditions of competitive, free-market dealing may exist.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Allocated Expenses from CEI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Allocated expenses as shown in the table below are directly calculated or based on CEI's estimate of services provided to Cox in relation to those provided to other CEI subsidiaries. Cox believes that these allocations were made on a reasonable basis. However, the allocations are not necessarily indicative of the level of expenses that might have been incurred had Cox contracted directly with third parties.</w:t>
      </w:r>
    </w:p>
    <w:p>
      <w:pPr>
        <w:pStyle w:val="TextBody"/>
        <w:bidi w:val="0"/>
        <w:spacing w:before="0" w:after="0"/>
        <w:ind w:left="0" w:right="0" w:hanging="0"/>
        <w:jc w:val="left"/>
        <w:rPr>
          <w:caps w:val="false"/>
          <w:smallCaps w:val="false"/>
        </w:rPr>
      </w:pPr>
      <w:r>
        <w:rPr>
          <w:caps w:val="false"/>
          <w:smallCaps w:val="false"/>
        </w:rPr>
        <w:t> </w:t>
      </w:r>
    </w:p>
    <w:tbl>
      <w:tblPr>
        <w:tblW w:w="6728" w:type="dxa"/>
        <w:jc w:val="left"/>
        <w:tblInd w:w="0" w:type="dxa"/>
        <w:tblLayout w:type="fixed"/>
        <w:tblCellMar>
          <w:top w:w="0" w:type="dxa"/>
          <w:left w:w="0" w:type="dxa"/>
          <w:bottom w:w="0" w:type="dxa"/>
          <w:right w:w="0" w:type="dxa"/>
        </w:tblCellMar>
      </w:tblPr>
      <w:tblGrid>
        <w:gridCol w:w="3890"/>
        <w:gridCol w:w="60"/>
        <w:gridCol w:w="406"/>
        <w:gridCol w:w="749"/>
        <w:gridCol w:w="195"/>
        <w:gridCol w:w="195"/>
        <w:gridCol w:w="406"/>
        <w:gridCol w:w="752"/>
        <w:gridCol w:w="75"/>
      </w:tblGrid>
      <w:tr>
        <w:trPr/>
        <w:tc>
          <w:tcPr>
            <w:tcW w:w="38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703"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 March 31,</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89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millions)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5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195" w:type="dxa"/>
            <w:tcBorders/>
            <w:vAlign w:val="center"/>
          </w:tcPr>
          <w:p>
            <w:pPr>
              <w:pStyle w:val="TableContents"/>
              <w:bidi w:val="0"/>
              <w:spacing w:before="0" w:after="283"/>
              <w:jc w:val="left"/>
              <w:rPr>
                <w:caps w:val="false"/>
                <w:smallCaps w:val="false"/>
              </w:rPr>
            </w:pPr>
            <w:r>
              <w:rPr>
                <w:caps w:val="false"/>
                <w:smallCaps w:val="false"/>
              </w:rPr>
              <w:t> </w:t>
            </w:r>
          </w:p>
        </w:tc>
        <w:tc>
          <w:tcPr>
            <w:tcW w:w="195" w:type="dxa"/>
            <w:tcBorders/>
            <w:vAlign w:val="center"/>
          </w:tcPr>
          <w:p>
            <w:pPr>
              <w:pStyle w:val="TableContents"/>
              <w:bidi w:val="0"/>
              <w:spacing w:before="0" w:after="283"/>
              <w:jc w:val="left"/>
              <w:rPr>
                <w:caps w:val="false"/>
                <w:smallCaps w:val="false"/>
              </w:rPr>
            </w:pPr>
            <w:r>
              <w:rPr>
                <w:caps w:val="false"/>
                <w:smallCaps w:val="false"/>
              </w:rPr>
              <w:t> </w:t>
            </w:r>
          </w:p>
        </w:tc>
        <w:tc>
          <w:tcPr>
            <w:tcW w:w="1158"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890" w:type="dxa"/>
            <w:tcBorders/>
            <w:shd w:fill="CCEE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Employee Benefit Plans</w:t>
            </w:r>
          </w:p>
        </w:tc>
        <w:tc>
          <w:tcPr>
            <w:tcW w:w="60" w:type="dxa"/>
            <w:tcBorders/>
            <w:shd w:fill="CCEEFF" w:val="clear"/>
            <w:vAlign w:val="center"/>
          </w:tcPr>
          <w:p>
            <w:pPr>
              <w:pStyle w:val="TableContents"/>
              <w:bidi w:val="0"/>
              <w:spacing w:before="0" w:after="283"/>
              <w:jc w:val="left"/>
              <w:rPr/>
            </w:pPr>
            <w:r>
              <w:rPr/>
              <w:t> </w:t>
            </w:r>
          </w:p>
        </w:tc>
        <w:tc>
          <w:tcPr>
            <w:tcW w:w="406" w:type="dxa"/>
            <w:tcBorders/>
            <w:shd w:fill="CCEEFF" w:val="clear"/>
            <w:vAlign w:val="center"/>
          </w:tcPr>
          <w:p>
            <w:pPr>
              <w:pStyle w:val="TableContents"/>
              <w:bidi w:val="0"/>
              <w:spacing w:before="0" w:after="283"/>
              <w:jc w:val="left"/>
              <w:rPr/>
            </w:pPr>
            <w:r>
              <w:rPr/>
              <w:t> </w:t>
            </w:r>
          </w:p>
        </w:tc>
        <w:tc>
          <w:tcPr>
            <w:tcW w:w="749" w:type="dxa"/>
            <w:tcBorders/>
            <w:shd w:fill="CCEEFF" w:val="clear"/>
            <w:vAlign w:val="center"/>
          </w:tcPr>
          <w:p>
            <w:pPr>
              <w:pStyle w:val="TableContents"/>
              <w:bidi w:val="0"/>
              <w:spacing w:before="0" w:after="283"/>
              <w:jc w:val="right"/>
              <w:rPr/>
            </w:pPr>
            <w:r>
              <w:rPr/>
              <w:t> </w:t>
            </w:r>
          </w:p>
        </w:tc>
        <w:tc>
          <w:tcPr>
            <w:tcW w:w="195"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406" w:type="dxa"/>
            <w:tcBorders/>
            <w:shd w:fill="CCEEFF" w:val="clear"/>
            <w:vAlign w:val="center"/>
          </w:tcPr>
          <w:p>
            <w:pPr>
              <w:pStyle w:val="TableContents"/>
              <w:bidi w:val="0"/>
              <w:spacing w:before="0" w:after="283"/>
              <w:jc w:val="left"/>
              <w:rPr/>
            </w:pPr>
            <w:r>
              <w:rPr/>
              <w:t> </w:t>
            </w:r>
          </w:p>
        </w:tc>
        <w:tc>
          <w:tcPr>
            <w:tcW w:w="752"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8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Healthcare and other employee benefits</w:t>
              <w:tab/>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0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4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w:t>
            </w:r>
          </w:p>
        </w:tc>
        <w:tc>
          <w:tcPr>
            <w:tcW w:w="1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0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8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Qualified and nonqualified pension </w:t>
            </w:r>
            <w:r>
              <w:rPr>
                <w:rFonts w:ascii="Times New Roman;Times;Serif" w:hAnsi="Times New Roman;Times;Serif"/>
                <w:b w:val="false"/>
                <w:i w:val="false"/>
                <w:caps w:val="false"/>
                <w:smallCaps w:val="false"/>
                <w:position w:val="7"/>
                <w:sz w:val="16"/>
                <w:sz w:val="20"/>
              </w:rPr>
              <w:t>(a)</w:t>
            </w:r>
            <w:r>
              <w:rPr>
                <w:rFonts w:ascii="Times New Roman;Times;Serif" w:hAnsi="Times New Roman;Times;Serif"/>
                <w:b w:val="false"/>
                <w:i w:val="false"/>
                <w:caps w:val="false"/>
                <w:smallCaps w:val="false"/>
                <w:sz w:val="20"/>
              </w:rPr>
              <w:tab/>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0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1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0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8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401(k) Plan</w:t>
              <w:tab/>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0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w:t>
            </w:r>
          </w:p>
        </w:tc>
        <w:tc>
          <w:tcPr>
            <w:tcW w:w="1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0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8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Postemployment and postretirement benefits </w:t>
            </w:r>
            <w:r>
              <w:rPr>
                <w:rFonts w:ascii="Times New Roman;Times;Serif" w:hAnsi="Times New Roman;Times;Serif"/>
                <w:b w:val="false"/>
                <w:i w:val="false"/>
                <w:caps w:val="false"/>
                <w:smallCaps w:val="false"/>
                <w:position w:val="7"/>
                <w:sz w:val="16"/>
                <w:sz w:val="20"/>
              </w:rPr>
              <w:t>(a)</w:t>
            </w:r>
            <w:r>
              <w:rPr>
                <w:rFonts w:ascii="Times New Roman;Times;Serif" w:hAnsi="Times New Roman;Times;Serif"/>
                <w:b w:val="false"/>
                <w:i w:val="false"/>
                <w:caps w:val="false"/>
                <w:smallCaps w:val="false"/>
                <w:sz w:val="20"/>
              </w:rPr>
              <w:tab/>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0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1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0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8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Long-term incentive compensation</w:t>
              <w:tab/>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0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w:t>
            </w:r>
          </w:p>
        </w:tc>
        <w:tc>
          <w:tcPr>
            <w:tcW w:w="1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0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890" w:type="dxa"/>
            <w:tcBorders/>
            <w:shd w:fill="CCEE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Other Allocated Expenses </w:t>
            </w:r>
            <w:r>
              <w:rPr>
                <w:rFonts w:ascii="Times New Roman;Times;Serif" w:hAnsi="Times New Roman;Times;Serif"/>
                <w:b w:val="false"/>
                <w:i/>
                <w:caps w:val="false"/>
                <w:smallCaps w:val="false"/>
                <w:position w:val="7"/>
                <w:sz w:val="16"/>
                <w:sz w:val="20"/>
              </w:rPr>
              <w:t>(b)</w:t>
            </w:r>
          </w:p>
        </w:tc>
        <w:tc>
          <w:tcPr>
            <w:tcW w:w="60" w:type="dxa"/>
            <w:tcBorders/>
            <w:shd w:fill="CCEEFF" w:val="clear"/>
            <w:vAlign w:val="center"/>
          </w:tcPr>
          <w:p>
            <w:pPr>
              <w:pStyle w:val="TableContents"/>
              <w:bidi w:val="0"/>
              <w:spacing w:before="0" w:after="283"/>
              <w:jc w:val="left"/>
              <w:rPr/>
            </w:pPr>
            <w:r>
              <w:rPr/>
              <w:t> </w:t>
            </w:r>
          </w:p>
        </w:tc>
        <w:tc>
          <w:tcPr>
            <w:tcW w:w="406" w:type="dxa"/>
            <w:tcBorders/>
            <w:shd w:fill="CCEEFF" w:val="clear"/>
            <w:vAlign w:val="center"/>
          </w:tcPr>
          <w:p>
            <w:pPr>
              <w:pStyle w:val="TableContents"/>
              <w:bidi w:val="0"/>
              <w:spacing w:before="0" w:after="283"/>
              <w:jc w:val="left"/>
              <w:rPr/>
            </w:pPr>
            <w:r>
              <w:rPr/>
              <w:t> </w:t>
            </w:r>
          </w:p>
        </w:tc>
        <w:tc>
          <w:tcPr>
            <w:tcW w:w="749" w:type="dxa"/>
            <w:tcBorders/>
            <w:shd w:fill="CCEEFF" w:val="clear"/>
            <w:vAlign w:val="center"/>
          </w:tcPr>
          <w:p>
            <w:pPr>
              <w:pStyle w:val="TableContents"/>
              <w:bidi w:val="0"/>
              <w:spacing w:before="0" w:after="283"/>
              <w:jc w:val="right"/>
              <w:rPr/>
            </w:pPr>
            <w:r>
              <w:rPr/>
              <w:t> </w:t>
            </w:r>
          </w:p>
        </w:tc>
        <w:tc>
          <w:tcPr>
            <w:tcW w:w="195"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406" w:type="dxa"/>
            <w:tcBorders/>
            <w:shd w:fill="CCEEFF" w:val="clear"/>
            <w:vAlign w:val="center"/>
          </w:tcPr>
          <w:p>
            <w:pPr>
              <w:pStyle w:val="TableContents"/>
              <w:bidi w:val="0"/>
              <w:spacing w:before="0" w:after="283"/>
              <w:jc w:val="left"/>
              <w:rPr/>
            </w:pPr>
            <w:r>
              <w:rPr/>
              <w:t> </w:t>
            </w:r>
          </w:p>
        </w:tc>
        <w:tc>
          <w:tcPr>
            <w:tcW w:w="752"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8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services</w:t>
              <w:tab/>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0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w:t>
            </w:r>
          </w:p>
        </w:tc>
        <w:tc>
          <w:tcPr>
            <w:tcW w:w="1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0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8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Occupancy-related services</w:t>
              <w:tab/>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0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1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0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7"/>
        <w:gridCol w:w="9960"/>
      </w:tblGrid>
      <w:tr>
        <w:trPr/>
        <w:tc>
          <w:tcPr>
            <w:tcW w:w="38"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pPr>
            <w:r>
              <w:rPr>
                <w:position w:val="8"/>
                <w:sz w:val="19"/>
              </w:rPr>
              <w:t>(a)</w:t>
            </w:r>
            <w:r>
              <w:rPr/>
              <w:t> </w:t>
            </w:r>
          </w:p>
        </w:tc>
        <w:tc>
          <w:tcPr>
            <w:tcW w:w="9960" w:type="dxa"/>
            <w:tcBorders/>
            <w:vAlign w:val="center"/>
          </w:tcPr>
          <w:p>
            <w:pPr>
              <w:pStyle w:val="TableContents"/>
              <w:bidi w:val="0"/>
              <w:spacing w:before="0" w:after="283"/>
              <w:jc w:val="both"/>
              <w:rPr/>
            </w:pPr>
            <w:r>
              <w:rPr/>
              <w:t>The service cost component related to Cox’s qualified and nonqualified pension plans and postretirement benefits is recorded to operating costs and expenses on the Condensed Consolidated Statements of Operations. The non-service cost component, which includes interest cost, expected return on plan assets, prior service cost amortization and actuarial loss amortization, is recorded to miscellaneous income — net on the Condensed Consolidated Statements of Operations.</w:t>
            </w:r>
          </w:p>
        </w:tc>
      </w:tr>
      <w:tr>
        <w:trPr/>
        <w:tc>
          <w:tcPr>
            <w:tcW w:w="38"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pPr>
            <w:r>
              <w:rPr>
                <w:position w:val="8"/>
                <w:sz w:val="19"/>
              </w:rPr>
              <w:t>(b)</w:t>
            </w:r>
            <w:r>
              <w:rPr/>
              <w:t> </w:t>
            </w:r>
          </w:p>
        </w:tc>
        <w:tc>
          <w:tcPr>
            <w:tcW w:w="9960" w:type="dxa"/>
            <w:tcBorders/>
            <w:vAlign w:val="center"/>
          </w:tcPr>
          <w:p>
            <w:pPr>
              <w:pStyle w:val="TableContents"/>
              <w:bidi w:val="0"/>
              <w:spacing w:before="0" w:after="283"/>
              <w:jc w:val="both"/>
              <w:rPr/>
            </w:pPr>
            <w:r>
              <w:rPr/>
              <w:t>Cox receives certain management (e.g., legal, corporate secretarial, tax, cash management, treasury, internal audit, risk management, employee benefit administration and other support services) and occupancy-related (e.g., repairs and maintenance, utilities, insurance and property taxes) services from CEI.</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Amounts due from CEI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receives day-to-day cash management services from CEI, with settlements of outstanding balances between Cox and CEI occurring periodically. The amounts due from CEI are due on demand and represent the net balance of the intercompany transactions. The interest rate is based on CEI's internal borrowing rate, generally determined from CEI's rates under the Credit Facility, which ranged from 3.76% to 3.78% during the three months ended March 31, 2026, and 4.41% to 4.43% during the three months ended March 31, 2025. The associated interest income was $41 million and $45 million for the three months ended March 31, 2026 and 2025,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Other Related Party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various other related party activities between Cox and related parties that individually and in the aggregate, are not material to Cox's Condensed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-12-</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66" w:name="tm2621145d1_ex99-4.htm"/>
      <w:bookmarkStart w:id="67" w:name="kstm2621145d1_ex994"/>
      <w:bookmarkEnd w:id="66"/>
      <w:bookmarkEnd w:id="67"/>
      <w:r>
        <w:rPr/>
        <w:t> </w:t>
      </w:r>
      <w:r>
        <w:br w:type="page"/>
      </w:r>
    </w:p>
    <w:p>
      <w:pPr>
        <w:pStyle w:val="TextBody"/>
        <w:bidi w:val="0"/>
        <w:jc w:val="right"/>
        <w:rPr>
          <w:b/>
        </w:rPr>
      </w:pPr>
      <w:r>
        <w:rPr>
          <w:b/>
        </w:rPr>
        <w:t>Exhibit 99.4</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PRO FORMA CONDENSED COMBINED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unaudited pro forma condensed combined financial statements as of and for the three months ended March 31, 2026 and for the year ended December 31, 2025 are intended to reflect the impact of the Cox Transactions on the consolidated financial statements of Charter Communications, Inc. (“Charter”), as if the Cox Transactions had occurred as of March 31, 2026 for the unaudited pro forma condensed combined balance sheet and as of January 1, 2025 for the unaudited pro forma condensed combined statements of operations. The accompanying unaudited pro forma financial statements present the pro forma financial position and results of operations of Charter based on the historical financial statements and accounting records of Charter and Cox Communications, Inc (“Cox Communications”) and the related pro forma transaction accounting adjustments as described in the accompanying notes. The transaction accounting adjustments are intended to reflect U.S. generally accepted accounting principles (“GAAP”) to illustrate the effects of the transactions on Charter’s historical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16, 2025, Charter, Charter Communications Holdings, LLC (“Charter Holdings”), and Cox Enterprises, Inc. (“Cox Enterprises”) entered into a Transaction Agreement (the “Transaction Agreement”) pursuant to which (i) Cox Enterprises will sell and transfer to Charter 100% of the equity interests of certain subsidiaries of Cox Communications that conduct Cox Communications’ commercial fiber and managed IT and cloud services businesses (the “Equity Sale”), (ii) Cox Enterprises will contribute the equity interests of Cox Communications and certain other assets (other than certain excluded assets) primarily related to Cox Communications’ residential cable business to Charter Holdings (the “Contribution”), and (iii) Cox Enterprises will pay $1.00 to Charter (collectively, the “Cox Transactions”). Under the Transaction Agreement, Charter and Cox Enterprises may designate one or more wholly owned subsidiaries to take actions with respect to Charter and Cox Enterprises,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Transaction Agreement, at the closing of the Cox Transactions: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3"/>
        <w:gridCol w:w="144"/>
        <w:gridCol w:w="10018"/>
      </w:tblGrid>
      <w:tr>
        <w:trPr/>
        <w:tc>
          <w:tcPr>
            <w:tcW w:w="4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rFonts w:ascii="Symbol" w:hAnsi="Symbol"/>
              </w:rPr>
            </w:pPr>
            <w:r>
              <w:rPr>
                <w:rFonts w:ascii="Symbol" w:hAnsi="Symbol"/>
              </w:rPr>
              <w:t>·</w:t>
            </w:r>
          </w:p>
        </w:tc>
        <w:tc>
          <w:tcPr>
            <w:tcW w:w="10018" w:type="dxa"/>
            <w:tcBorders/>
            <w:vAlign w:val="center"/>
          </w:tcPr>
          <w:p>
            <w:pPr>
              <w:pStyle w:val="TableContents"/>
              <w:bidi w:val="0"/>
              <w:spacing w:before="0" w:after="283"/>
              <w:jc w:val="both"/>
              <w:rPr/>
            </w:pPr>
            <w:r>
              <w:rPr/>
              <w:t>in consideration of the Equity Sale, Charter will pay $3.5 billion in cash to Cox Enterprises;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in consideration of the Contribution, Charter Holdings will (i) pay to Cox Enterprises $650 million in cash and (ii) issue to Cox Enterprises convertible preferred units of Charter Holdings with an aggregate liquidation preference of $6.0 billion, which will pay a 6.875% dividend per annum, and approximately 33.6 million Charter Holdings common units. The Charter Holdings convertible preferred units will be convertible into Charter Holdings common units, with an initial conversion price of $477.41, subject to certain adjustments. The Charter Holdings common units will be exchangeable by the holder, in certain circumstances, for cash or, at the election of Charter, Charter Class A common stock on a one-for-one basis, subject to certain adjustments;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in consideration of the $1.00 payment from Cox Enterprises to Charter, Charter will issue to Cox Enterprises one share of the newly created Charter Class C common stock. The Charter Class C common stock will be equivalent, economically, to the outstanding Charter Class A common stock and the Charter Class B common stock but will have a number of votes per share that reflect the voting power of the Charter Holdings common units and the Charter Holdings convertible preferred units held by Cox Enterprises on an as-converted, as-exchanged basis.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combined entity will assume Cox Communications’ approximately $12.4 billion in outstanding net debt and finance leases.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Basis of Presentation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pro forma financial statements are based on (i) the unaudited consolidated financial statements of Charter as of and for the three months ended March 31, 2026 contained in Charter’s Quarterly Report on Form 10-Q filed with the SEC on April 24, 2026, (ii) the unaudited consolidated financial statements of Cox Communications as of and for the three months ended March 31, 2026 contained in this Current Report on Form 8-K, (iii) the audited consolidated financial statements of Charter as of and for the year ended December 31, 2025 contained in Charter’s Annual Report on Form 10-K filed with the SEC on January 30, 2026, and (iv) the audited consolidated financial statements of Cox Communications as of and for the year ended December 31, 2025 contained in this Current Report on Form 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Cox Transactions will be accounted for using the acquisition method of accounting with Charter as the accounting acquirer. As of the date of this current report, Charter has not completed the detailed valuation studies necessary to arrive at final estimates of the fair market value of the assets to be acquired and the liabilities to be assumed and the related allocations of purchase price, nor has it identified all adjustments necessary to conform Cox Communications to Charter’s accounting policies. As indicated in Note 1 to the unaudited pro forma financial statements, based on information currently available, Charter has made certain adjustments to the historical book values of the assets and liabilities of Cox Communications to reflect preliminary estimates of fair values necessary to prepare the unaudited pro forma financial statements. Actual results may differ from these unaudited pro forma financial statements once the Cox Transactions are completed which includes determining the final purchase price for Cox Communications, completing the valuation studies necessary to finalize the required purchase price allocations, and identifying any additional conforming accounting policy changes for Cox Communications. There can be no assurance that such finalization will not result in material changes.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pro forma financial statements are provided for illustrative purposes only and are based on available information and assumptions that Charter believes are reasonable and do not purport to represent what the actual consolidated results of operations or the consolidated financial position of Charter would have been had the Cox Transactions occurred on the dates indicated, nor are they necessarily indicative of future consolidated results of operations or consolidated financial position. The actual financial position and results of operations will differ, perhaps significantly, from the pro forma amounts reflected herein due to a variety of factors, including access to additional information, changes in value not currently identified and changes in operating results following the date of the pro forma financial statements. The assumptions underlying the pro forma adjustments are described in greater detail in the accompanying notes to the unaudited pro forma condensed combined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Items Not Adjusted in the Unaudited Pro Forma Financial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pro forma financial statements do not reflect all reclassifications or adjustments to conform the Cox Communications financial statement presentation or accounting policies to those adopted by Charter. At this time, Charter is not aware of any intercompany transactions that would have a material impact on the unaudited pro forma financial statements that are not reflected in the pro forma adjustments. Further review may identify additional intercompany transactions, reclassifications or differences between the accounting policies of the companies that, when conformed, could have a material impact on the unaudited pro forma financial statements of the combined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pro forma financial statements do not include any adjustment for liabilities or related costs that may result from integration activities, since management has not completed the process of making these assessments. Significant liabilities and related costs may ultimately be recorded for employee severance or relocation, costs of vacating some facilities and costs associated with other exit and integration activities. The unaudited pro forma statements of operations also do not include any revenue or expense synergies or dis-synergies resulting from the Cox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Cox Transactions, at the closing, Charter, Cox Enterprises and Advance/Newhouse Partnership (“A/N”) will enter into the amended tax receivables agreement, which will set forth the terms pursuant to which Charter will pay Cox Enterprises and A/N, as applicable, for tax benefits arising from Cox Enterprises’ or A/N’s potential future exchanges of their respective Charter Holdings common units and Charter Holdings convertible preferred units, as applicable, into cash or Charter Class A common stock pursuant to the amended exchange agreement. The amended tax receivables agreement will provide for a payment by Charter of 50% of the tax benefits when realized by Charter from the step-up in tax basis resulting from any such future exchanges. A/N is currently party to the existing tax receivables agreement with Charter, and such agreement will be amended and restated by the amended tax receivables agreement at the closing. Charter has not recorded a pro forma adjustment for the tax receivables agreement with Cox Enterprises as a contingent consideration obligation in the preliminary purchase price allocation as it is impractical to estimate its fair value since the tax benefit is dependent on uncertain future events that are outside Charter’s control. A future exchange is not based on a fixed and determinable date and the exchange is not certain to occur.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PRO FORMA CONDENSED COMBINED BALANCE SHEET</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 MARCH 31, 2026</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(dollars in millions)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934"/>
        <w:gridCol w:w="60"/>
        <w:gridCol w:w="150"/>
        <w:gridCol w:w="840"/>
        <w:gridCol w:w="60"/>
        <w:gridCol w:w="60"/>
        <w:gridCol w:w="255"/>
        <w:gridCol w:w="1205"/>
        <w:gridCol w:w="60"/>
        <w:gridCol w:w="60"/>
        <w:gridCol w:w="170"/>
        <w:gridCol w:w="885"/>
        <w:gridCol w:w="80"/>
        <w:gridCol w:w="245"/>
        <w:gridCol w:w="60"/>
        <w:gridCol w:w="152"/>
        <w:gridCol w:w="851"/>
        <w:gridCol w:w="78"/>
      </w:tblGrid>
      <w:tr>
        <w:trPr/>
        <w:tc>
          <w:tcPr>
            <w:tcW w:w="493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0"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Charter</w:t>
              <w:br/>
              <w:t>(Historical)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60"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Cox</w:t>
              <w:br/>
              <w:t>Communications</w:t>
              <w:br/>
              <w:t>(Historical)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Pro Forma</w:t>
              <w:br/>
              <w:t>Adjustments</w:t>
            </w:r>
          </w:p>
        </w:tc>
        <w:tc>
          <w:tcPr>
            <w:tcW w:w="8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position w:val="8"/>
                <w:sz w:val="19"/>
              </w:rPr>
              <w:t> </w:t>
            </w:r>
            <w:r>
              <w:rPr/>
              <w:t> </w:t>
            </w:r>
          </w:p>
        </w:tc>
        <w:tc>
          <w:tcPr>
            <w:tcW w:w="60" w:type="dxa"/>
            <w:tcBorders/>
            <w:vAlign w:val="center"/>
          </w:tcPr>
          <w:p>
            <w:pPr>
              <w:pStyle w:val="TableContents"/>
              <w:bidi w:val="0"/>
              <w:spacing w:before="0" w:after="283"/>
              <w:jc w:val="left"/>
              <w:rPr/>
            </w:pPr>
            <w:r>
              <w:rPr/>
              <w:t> </w:t>
            </w:r>
          </w:p>
        </w:tc>
        <w:tc>
          <w:tcPr>
            <w:tcW w:w="1003"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 xml:space="preserve">Pro Forma </w:t>
            </w:r>
            <w:r>
              <w:rPr>
                <w:rFonts w:ascii="Times New Roman;Times;Serif" w:hAnsi="Times New Roman;Times;Serif"/>
                <w:b/>
                <w:sz w:val="20"/>
              </w:rPr>
              <w:br/>
            </w:r>
            <w:r>
              <w:rPr>
                <w:b/>
                <w:sz w:val="20"/>
              </w:rPr>
              <w:t>Combined</w:t>
            </w:r>
          </w:p>
        </w:tc>
        <w:tc>
          <w:tcPr>
            <w:tcW w:w="78" w:type="dxa"/>
            <w:tcBorders/>
            <w:vAlign w:val="center"/>
          </w:tcPr>
          <w:p>
            <w:pPr>
              <w:pStyle w:val="TableContents"/>
              <w:bidi w:val="0"/>
              <w:spacing w:before="0" w:after="283"/>
              <w:jc w:val="left"/>
              <w:rPr/>
            </w:pPr>
            <w:r>
              <w:rPr/>
              <w:t> </w:t>
            </w:r>
          </w:p>
        </w:tc>
      </w:tr>
      <w:tr>
        <w:trPr/>
        <w:tc>
          <w:tcPr>
            <w:tcW w:w="4934" w:type="dxa"/>
            <w:tcBorders/>
            <w:shd w:fill="CCEEFF" w:val="clear"/>
            <w:vAlign w:val="center"/>
          </w:tcPr>
          <w:p>
            <w:pPr>
              <w:pStyle w:val="TableContents"/>
              <w:bidi w:val="0"/>
              <w:spacing w:before="0" w:after="283"/>
              <w:jc w:val="center"/>
              <w:rPr>
                <w:b/>
                <w:sz w:val="20"/>
              </w:rPr>
            </w:pPr>
            <w:r>
              <w:rPr>
                <w:b/>
                <w:sz w:val="20"/>
              </w:rPr>
              <w:t>ASSETS</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84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8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position w:val="8"/>
                <w:sz w:val="19"/>
              </w:rPr>
              <w:t> </w:t>
            </w: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851" w:type="dxa"/>
            <w:tcBorders/>
            <w:shd w:fill="CCEEFF" w:val="clear"/>
            <w:vAlign w:val="center"/>
          </w:tcPr>
          <w:p>
            <w:pPr>
              <w:pStyle w:val="TableContents"/>
              <w:bidi w:val="0"/>
              <w:spacing w:before="0" w:after="283"/>
              <w:jc w:val="right"/>
              <w:rPr/>
            </w:pPr>
            <w:r>
              <w:rPr/>
              <w:t> </w:t>
            </w:r>
          </w:p>
        </w:tc>
        <w:tc>
          <w:tcPr>
            <w:tcW w:w="78" w:type="dxa"/>
            <w:tcBorders/>
            <w:shd w:fill="CCEEFF" w:val="clear"/>
            <w:vAlign w:val="center"/>
          </w:tcPr>
          <w:p>
            <w:pPr>
              <w:pStyle w:val="TableContents"/>
              <w:bidi w:val="0"/>
              <w:spacing w:before="0" w:after="283"/>
              <w:jc w:val="left"/>
              <w:rPr/>
            </w:pPr>
            <w:r>
              <w:rPr/>
              <w:t> </w:t>
            </w:r>
          </w:p>
        </w:tc>
      </w:tr>
      <w:tr>
        <w:trPr/>
        <w:tc>
          <w:tcPr>
            <w:tcW w:w="4934" w:type="dxa"/>
            <w:tcBorders/>
            <w:shd w:fill="FFFFFF" w:val="clear"/>
            <w:vAlign w:val="center"/>
          </w:tcPr>
          <w:p>
            <w:pPr>
              <w:pStyle w:val="TableContents"/>
              <w:bidi w:val="0"/>
              <w:spacing w:before="0" w:after="283"/>
              <w:jc w:val="left"/>
              <w:rPr>
                <w:sz w:val="20"/>
              </w:rPr>
            </w:pPr>
            <w:r>
              <w:rPr>
                <w:sz w:val="20"/>
              </w:rPr>
              <w:t>CURRENT ASSETS:</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84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88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position w:val="8"/>
                <w:sz w:val="19"/>
              </w:rPr>
              <w:t> </w:t>
            </w: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851" w:type="dxa"/>
            <w:tcBorders/>
            <w:shd w:fill="FFFFFF" w:val="clear"/>
            <w:vAlign w:val="center"/>
          </w:tcPr>
          <w:p>
            <w:pPr>
              <w:pStyle w:val="TableContents"/>
              <w:bidi w:val="0"/>
              <w:spacing w:before="0" w:after="283"/>
              <w:jc w:val="right"/>
              <w:rPr/>
            </w:pPr>
            <w:r>
              <w:rPr/>
              <w:t> </w:t>
            </w:r>
          </w:p>
        </w:tc>
        <w:tc>
          <w:tcPr>
            <w:tcW w:w="78" w:type="dxa"/>
            <w:tcBorders/>
            <w:shd w:fill="FFFFFF" w:val="clear"/>
            <w:vAlign w:val="center"/>
          </w:tcPr>
          <w:p>
            <w:pPr>
              <w:pStyle w:val="TableContents"/>
              <w:bidi w:val="0"/>
              <w:spacing w:before="0" w:after="283"/>
              <w:jc w:val="left"/>
              <w:rPr/>
            </w:pPr>
            <w:r>
              <w:rPr/>
              <w:t> </w:t>
            </w:r>
          </w:p>
        </w:tc>
      </w:tr>
      <w:tr>
        <w:trPr/>
        <w:tc>
          <w:tcPr>
            <w:tcW w:w="4934" w:type="dxa"/>
            <w:tcBorders/>
            <w:shd w:fill="CCEEFF" w:val="clear"/>
            <w:vAlign w:val="center"/>
          </w:tcPr>
          <w:p>
            <w:pPr>
              <w:pStyle w:val="TableContents"/>
              <w:bidi w:val="0"/>
              <w:spacing w:before="0" w:after="283"/>
              <w:jc w:val="left"/>
              <w:rPr>
                <w:sz w:val="20"/>
              </w:rPr>
            </w:pPr>
            <w:r>
              <w:rPr>
                <w:sz w:val="20"/>
              </w:rPr>
              <w:t>Cash and cash equivalents</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sz w:val="20"/>
              </w:rPr>
            </w:pPr>
            <w:r>
              <w:rPr>
                <w:sz w:val="20"/>
              </w:rPr>
              <w:t>$</w:t>
            </w:r>
          </w:p>
        </w:tc>
        <w:tc>
          <w:tcPr>
            <w:tcW w:w="840" w:type="dxa"/>
            <w:tcBorders/>
            <w:shd w:fill="CCEEFF" w:val="clear"/>
            <w:vAlign w:val="center"/>
          </w:tcPr>
          <w:p>
            <w:pPr>
              <w:pStyle w:val="TableContents"/>
              <w:bidi w:val="0"/>
              <w:spacing w:before="0" w:after="283"/>
              <w:jc w:val="right"/>
              <w:rPr>
                <w:sz w:val="20"/>
              </w:rPr>
            </w:pPr>
            <w:r>
              <w:rPr>
                <w:sz w:val="20"/>
              </w:rPr>
              <w:t>517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sz w:val="20"/>
              </w:rPr>
            </w:pPr>
            <w:r>
              <w:rPr>
                <w:sz w:val="20"/>
              </w:rPr>
              <w:t>$</w:t>
            </w:r>
          </w:p>
        </w:tc>
        <w:tc>
          <w:tcPr>
            <w:tcW w:w="1205" w:type="dxa"/>
            <w:tcBorders/>
            <w:shd w:fill="CCEEFF" w:val="clear"/>
            <w:vAlign w:val="center"/>
          </w:tcPr>
          <w:p>
            <w:pPr>
              <w:pStyle w:val="TableContents"/>
              <w:bidi w:val="0"/>
              <w:spacing w:before="0" w:after="283"/>
              <w:jc w:val="right"/>
              <w:rPr>
                <w:sz w:val="20"/>
              </w:rPr>
            </w:pPr>
            <w:r>
              <w:rPr>
                <w:sz w:val="20"/>
              </w:rPr>
              <w:t>84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sz w:val="20"/>
              </w:rPr>
            </w:pPr>
            <w:r>
              <w:rPr>
                <w:sz w:val="20"/>
              </w:rPr>
              <w:t>$</w:t>
            </w:r>
          </w:p>
        </w:tc>
        <w:tc>
          <w:tcPr>
            <w:tcW w:w="885" w:type="dxa"/>
            <w:tcBorders/>
            <w:shd w:fill="CCEEFF" w:val="clear"/>
            <w:vAlign w:val="center"/>
          </w:tcPr>
          <w:p>
            <w:pPr>
              <w:pStyle w:val="TableContents"/>
              <w:bidi w:val="0"/>
              <w:spacing w:before="0" w:after="283"/>
              <w:jc w:val="right"/>
              <w:rPr>
                <w:sz w:val="20"/>
              </w:rPr>
            </w:pPr>
            <w:r>
              <w:rPr>
                <w:sz w:val="20"/>
              </w:rPr>
              <w:t>(154</w:t>
            </w:r>
          </w:p>
        </w:tc>
        <w:tc>
          <w:tcPr>
            <w:tcW w:w="80" w:type="dxa"/>
            <w:tcBorders/>
            <w:shd w:fill="CCEEFF" w:val="clear"/>
            <w:vAlign w:val="center"/>
          </w:tcPr>
          <w:p>
            <w:pPr>
              <w:pStyle w:val="TableContents"/>
              <w:bidi w:val="0"/>
              <w:spacing w:before="0" w:after="283"/>
              <w:jc w:val="left"/>
              <w:rPr>
                <w:sz w:val="20"/>
              </w:rPr>
            </w:pPr>
            <w:r>
              <w:rPr>
                <w:sz w:val="20"/>
              </w:rPr>
              <w:t>)</w:t>
            </w:r>
          </w:p>
        </w:tc>
        <w:tc>
          <w:tcPr>
            <w:tcW w:w="245" w:type="dxa"/>
            <w:tcBorders/>
            <w:shd w:fill="CCEEFF" w:val="clear"/>
            <w:vAlign w:val="center"/>
          </w:tcPr>
          <w:p>
            <w:pPr>
              <w:pStyle w:val="TableContents"/>
              <w:bidi w:val="0"/>
              <w:spacing w:before="0" w:after="283"/>
              <w:jc w:val="left"/>
              <w:rPr>
                <w:sz w:val="20"/>
              </w:rPr>
            </w:pPr>
            <w:r>
              <w:rPr>
                <w:position w:val="7"/>
                <w:sz w:val="16"/>
                <w:sz w:val="20"/>
              </w:rPr>
              <w:t>1a</w:t>
            </w:r>
            <w:r>
              <w:rPr>
                <w:sz w:val="20"/>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sz w:val="20"/>
              </w:rPr>
            </w:pPr>
            <w:r>
              <w:rPr>
                <w:sz w:val="20"/>
              </w:rPr>
              <w:t>$</w:t>
            </w:r>
          </w:p>
        </w:tc>
        <w:tc>
          <w:tcPr>
            <w:tcW w:w="851" w:type="dxa"/>
            <w:tcBorders/>
            <w:shd w:fill="CCEEFF" w:val="clear"/>
            <w:vAlign w:val="center"/>
          </w:tcPr>
          <w:p>
            <w:pPr>
              <w:pStyle w:val="TableContents"/>
              <w:bidi w:val="0"/>
              <w:spacing w:before="0" w:after="283"/>
              <w:jc w:val="right"/>
              <w:rPr>
                <w:sz w:val="20"/>
              </w:rPr>
            </w:pPr>
            <w:r>
              <w:rPr>
                <w:sz w:val="20"/>
              </w:rPr>
              <w:t>447</w:t>
            </w:r>
          </w:p>
        </w:tc>
        <w:tc>
          <w:tcPr>
            <w:tcW w:w="78" w:type="dxa"/>
            <w:tcBorders/>
            <w:shd w:fill="CCEEFF" w:val="clear"/>
            <w:vAlign w:val="center"/>
          </w:tcPr>
          <w:p>
            <w:pPr>
              <w:pStyle w:val="TableContents"/>
              <w:bidi w:val="0"/>
              <w:spacing w:before="0" w:after="283"/>
              <w:jc w:val="left"/>
              <w:rPr/>
            </w:pPr>
            <w:r>
              <w:rPr/>
              <w:t> </w:t>
            </w:r>
          </w:p>
        </w:tc>
      </w:tr>
      <w:tr>
        <w:trPr/>
        <w:tc>
          <w:tcPr>
            <w:tcW w:w="4934" w:type="dxa"/>
            <w:tcBorders/>
            <w:shd w:fill="FFFFFF" w:val="clear"/>
            <w:vAlign w:val="center"/>
          </w:tcPr>
          <w:p>
            <w:pPr>
              <w:pStyle w:val="TableContents"/>
              <w:bidi w:val="0"/>
              <w:spacing w:before="0" w:after="283"/>
              <w:jc w:val="left"/>
              <w:rPr>
                <w:sz w:val="20"/>
              </w:rPr>
            </w:pPr>
            <w:r>
              <w:rPr>
                <w:sz w:val="20"/>
              </w:rPr>
              <w:t>Accounts receivable, net</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840" w:type="dxa"/>
            <w:tcBorders/>
            <w:shd w:fill="FFFFFF" w:val="clear"/>
            <w:vAlign w:val="center"/>
          </w:tcPr>
          <w:p>
            <w:pPr>
              <w:pStyle w:val="TableContents"/>
              <w:bidi w:val="0"/>
              <w:spacing w:before="0" w:after="283"/>
              <w:jc w:val="right"/>
              <w:rPr>
                <w:sz w:val="20"/>
              </w:rPr>
            </w:pPr>
            <w:r>
              <w:rPr>
                <w:sz w:val="20"/>
              </w:rPr>
              <w:t>3,510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sz w:val="20"/>
              </w:rPr>
            </w:pPr>
            <w:r>
              <w:rPr>
                <w:sz w:val="20"/>
              </w:rPr>
              <w:t>650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885"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position w:val="8"/>
                <w:sz w:val="19"/>
              </w:rPr>
              <w:t> </w:t>
            </w: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851" w:type="dxa"/>
            <w:tcBorders/>
            <w:shd w:fill="FFFFFF" w:val="clear"/>
            <w:vAlign w:val="center"/>
          </w:tcPr>
          <w:p>
            <w:pPr>
              <w:pStyle w:val="TableContents"/>
              <w:bidi w:val="0"/>
              <w:spacing w:before="0" w:after="283"/>
              <w:jc w:val="right"/>
              <w:rPr>
                <w:sz w:val="20"/>
              </w:rPr>
            </w:pPr>
            <w:r>
              <w:rPr>
                <w:sz w:val="20"/>
              </w:rPr>
              <w:t>4,160</w:t>
            </w:r>
          </w:p>
        </w:tc>
        <w:tc>
          <w:tcPr>
            <w:tcW w:w="78" w:type="dxa"/>
            <w:tcBorders/>
            <w:shd w:fill="FFFFFF" w:val="clear"/>
            <w:vAlign w:val="center"/>
          </w:tcPr>
          <w:p>
            <w:pPr>
              <w:pStyle w:val="TableContents"/>
              <w:bidi w:val="0"/>
              <w:spacing w:before="0" w:after="283"/>
              <w:jc w:val="left"/>
              <w:rPr/>
            </w:pPr>
            <w:r>
              <w:rPr/>
              <w:t> </w:t>
            </w:r>
          </w:p>
        </w:tc>
      </w:tr>
      <w:tr>
        <w:trPr/>
        <w:tc>
          <w:tcPr>
            <w:tcW w:w="4934" w:type="dxa"/>
            <w:tcBorders/>
            <w:shd w:fill="CCEEFF" w:val="clear"/>
            <w:vAlign w:val="center"/>
          </w:tcPr>
          <w:p>
            <w:pPr>
              <w:pStyle w:val="TableContents"/>
              <w:bidi w:val="0"/>
              <w:spacing w:before="0" w:after="283"/>
              <w:jc w:val="left"/>
              <w:rPr>
                <w:sz w:val="20"/>
              </w:rPr>
            </w:pPr>
            <w:r>
              <w:rPr>
                <w:sz w:val="20"/>
              </w:rPr>
              <w:t>Amounts due from Cox Enterprises, Inc.</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84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sz w:val="20"/>
              </w:rPr>
            </w:pPr>
            <w:r>
              <w:rPr>
                <w:sz w:val="20"/>
              </w:rPr>
              <w:t>4,154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85" w:type="dxa"/>
            <w:tcBorders/>
            <w:shd w:fill="CCEEFF" w:val="clear"/>
            <w:vAlign w:val="center"/>
          </w:tcPr>
          <w:p>
            <w:pPr>
              <w:pStyle w:val="TableContents"/>
              <w:bidi w:val="0"/>
              <w:spacing w:before="0" w:after="283"/>
              <w:jc w:val="right"/>
              <w:rPr>
                <w:sz w:val="20"/>
              </w:rPr>
            </w:pPr>
            <w:r>
              <w:rPr>
                <w:sz w:val="20"/>
              </w:rPr>
              <w:t>(4,154</w:t>
            </w:r>
          </w:p>
        </w:tc>
        <w:tc>
          <w:tcPr>
            <w:tcW w:w="80" w:type="dxa"/>
            <w:tcBorders/>
            <w:shd w:fill="CCEEFF" w:val="clear"/>
            <w:vAlign w:val="center"/>
          </w:tcPr>
          <w:p>
            <w:pPr>
              <w:pStyle w:val="TableContents"/>
              <w:bidi w:val="0"/>
              <w:spacing w:before="0" w:after="283"/>
              <w:jc w:val="left"/>
              <w:rPr>
                <w:sz w:val="20"/>
              </w:rPr>
            </w:pPr>
            <w:r>
              <w:rPr>
                <w:sz w:val="20"/>
              </w:rPr>
              <w:t>)</w:t>
            </w:r>
          </w:p>
        </w:tc>
        <w:tc>
          <w:tcPr>
            <w:tcW w:w="245" w:type="dxa"/>
            <w:tcBorders/>
            <w:shd w:fill="CCEEFF" w:val="clear"/>
            <w:vAlign w:val="center"/>
          </w:tcPr>
          <w:p>
            <w:pPr>
              <w:pStyle w:val="TableContents"/>
              <w:bidi w:val="0"/>
              <w:spacing w:before="0" w:after="283"/>
              <w:jc w:val="left"/>
              <w:rPr>
                <w:sz w:val="20"/>
              </w:rPr>
            </w:pPr>
            <w:r>
              <w:rPr>
                <w:position w:val="7"/>
                <w:sz w:val="16"/>
                <w:sz w:val="20"/>
              </w:rPr>
              <w:t>1b</w:t>
            </w:r>
            <w:r>
              <w:rPr>
                <w:sz w:val="20"/>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851" w:type="dxa"/>
            <w:tcBorders/>
            <w:shd w:fill="CCEEFF" w:val="clear"/>
            <w:vAlign w:val="center"/>
          </w:tcPr>
          <w:p>
            <w:pPr>
              <w:pStyle w:val="TableContents"/>
              <w:bidi w:val="0"/>
              <w:spacing w:before="0" w:after="283"/>
              <w:jc w:val="right"/>
              <w:rPr/>
            </w:pPr>
            <w:r>
              <w:rPr/>
              <w:t>—</w:t>
            </w:r>
          </w:p>
        </w:tc>
        <w:tc>
          <w:tcPr>
            <w:tcW w:w="78" w:type="dxa"/>
            <w:tcBorders/>
            <w:shd w:fill="CCEEFF" w:val="clear"/>
            <w:vAlign w:val="center"/>
          </w:tcPr>
          <w:p>
            <w:pPr>
              <w:pStyle w:val="TableContents"/>
              <w:bidi w:val="0"/>
              <w:spacing w:before="0" w:after="283"/>
              <w:jc w:val="left"/>
              <w:rPr/>
            </w:pPr>
            <w:r>
              <w:rPr/>
              <w:t> </w:t>
            </w:r>
          </w:p>
        </w:tc>
      </w:tr>
      <w:tr>
        <w:trPr/>
        <w:tc>
          <w:tcPr>
            <w:tcW w:w="4934" w:type="dxa"/>
            <w:tcBorders/>
            <w:shd w:fill="FFFFFF" w:val="clear"/>
            <w:vAlign w:val="center"/>
          </w:tcPr>
          <w:p>
            <w:pPr>
              <w:pStyle w:val="TableContents"/>
              <w:bidi w:val="0"/>
              <w:spacing w:before="0" w:after="283"/>
              <w:jc w:val="left"/>
              <w:rPr>
                <w:sz w:val="20"/>
              </w:rPr>
            </w:pPr>
            <w:r>
              <w:rPr>
                <w:sz w:val="20"/>
              </w:rPr>
              <w:t>Prepaid expenses and other current assets</w:t>
            </w:r>
          </w:p>
        </w:tc>
        <w:tc>
          <w:tcPr>
            <w:tcW w:w="60" w:type="dxa"/>
            <w:tcBorders/>
            <w:shd w:fill="FFFFFF" w:val="clear"/>
            <w:vAlign w:val="center"/>
          </w:tcPr>
          <w:p>
            <w:pPr>
              <w:pStyle w:val="TableContents"/>
              <w:bidi w:val="0"/>
              <w:spacing w:before="0" w:after="283"/>
              <w:jc w:val="left"/>
              <w:rPr/>
            </w:pPr>
            <w:r>
              <w:rPr/>
              <w:t> </w:t>
            </w:r>
          </w:p>
        </w:tc>
        <w:tc>
          <w:tcPr>
            <w:tcW w:w="15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40"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933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355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8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position w:val="8"/>
                <w:sz w:val="19"/>
              </w:rPr>
              <w:t> </w:t>
            </w: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51"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1,288</w:t>
            </w:r>
          </w:p>
        </w:tc>
        <w:tc>
          <w:tcPr>
            <w:tcW w:w="78" w:type="dxa"/>
            <w:tcBorders/>
            <w:shd w:fill="FFFFFF" w:val="clear"/>
            <w:vAlign w:val="center"/>
          </w:tcPr>
          <w:p>
            <w:pPr>
              <w:pStyle w:val="TableContents"/>
              <w:bidi w:val="0"/>
              <w:spacing w:before="0" w:after="283"/>
              <w:jc w:val="left"/>
              <w:rPr/>
            </w:pPr>
            <w:r>
              <w:rPr/>
              <w:t> </w:t>
            </w:r>
          </w:p>
        </w:tc>
      </w:tr>
      <w:tr>
        <w:trPr/>
        <w:tc>
          <w:tcPr>
            <w:tcW w:w="4934" w:type="dxa"/>
            <w:tcBorders/>
            <w:shd w:fill="CCEEFF" w:val="clear"/>
            <w:vAlign w:val="center"/>
          </w:tcPr>
          <w:p>
            <w:pPr>
              <w:pStyle w:val="TableContents"/>
              <w:bidi w:val="0"/>
              <w:spacing w:before="0" w:after="283"/>
              <w:jc w:val="left"/>
              <w:rPr>
                <w:sz w:val="20"/>
              </w:rPr>
            </w:pPr>
            <w:r>
              <w:rPr>
                <w:sz w:val="20"/>
              </w:rPr>
              <w:t>Total current assets</w:t>
            </w:r>
          </w:p>
        </w:tc>
        <w:tc>
          <w:tcPr>
            <w:tcW w:w="60" w:type="dxa"/>
            <w:tcBorders/>
            <w:shd w:fill="CCEEFF" w:val="clear"/>
            <w:vAlign w:val="center"/>
          </w:tcPr>
          <w:p>
            <w:pPr>
              <w:pStyle w:val="TableContents"/>
              <w:bidi w:val="0"/>
              <w:spacing w:before="0" w:after="283"/>
              <w:jc w:val="left"/>
              <w:rPr/>
            </w:pPr>
            <w:r>
              <w:rPr/>
              <w:t> </w:t>
            </w:r>
          </w:p>
        </w:tc>
        <w:tc>
          <w:tcPr>
            <w:tcW w:w="15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40"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4,960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5,243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8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(4,308</w:t>
            </w:r>
          </w:p>
        </w:tc>
        <w:tc>
          <w:tcPr>
            <w:tcW w:w="80" w:type="dxa"/>
            <w:tcBorders/>
            <w:shd w:fill="CCEEFF" w:val="clear"/>
            <w:vAlign w:val="center"/>
          </w:tcPr>
          <w:p>
            <w:pPr>
              <w:pStyle w:val="TableContents"/>
              <w:bidi w:val="0"/>
              <w:spacing w:before="0" w:after="283"/>
              <w:jc w:val="left"/>
              <w:rPr>
                <w:sz w:val="20"/>
              </w:rPr>
            </w:pPr>
            <w:r>
              <w:rPr>
                <w:sz w:val="20"/>
              </w:rPr>
              <w:t>)</w:t>
            </w:r>
          </w:p>
        </w:tc>
        <w:tc>
          <w:tcPr>
            <w:tcW w:w="245" w:type="dxa"/>
            <w:tcBorders/>
            <w:shd w:fill="CCEEFF" w:val="clear"/>
            <w:vAlign w:val="center"/>
          </w:tcPr>
          <w:p>
            <w:pPr>
              <w:pStyle w:val="TableContents"/>
              <w:bidi w:val="0"/>
              <w:spacing w:before="0" w:after="283"/>
              <w:jc w:val="left"/>
              <w:rPr/>
            </w:pPr>
            <w:r>
              <w:rPr>
                <w:position w:val="8"/>
                <w:sz w:val="19"/>
              </w:rPr>
              <w:t> </w:t>
            </w: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51"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5,895</w:t>
            </w:r>
          </w:p>
        </w:tc>
        <w:tc>
          <w:tcPr>
            <w:tcW w:w="78" w:type="dxa"/>
            <w:tcBorders/>
            <w:shd w:fill="CCEEFF" w:val="clear"/>
            <w:vAlign w:val="center"/>
          </w:tcPr>
          <w:p>
            <w:pPr>
              <w:pStyle w:val="TableContents"/>
              <w:bidi w:val="0"/>
              <w:spacing w:before="0" w:after="283"/>
              <w:jc w:val="left"/>
              <w:rPr/>
            </w:pPr>
            <w:r>
              <w:rPr/>
              <w:t> </w:t>
            </w:r>
          </w:p>
        </w:tc>
      </w:tr>
      <w:tr>
        <w:trPr/>
        <w:tc>
          <w:tcPr>
            <w:tcW w:w="493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84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88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position w:val="8"/>
                <w:sz w:val="19"/>
              </w:rPr>
              <w:t> </w:t>
            </w: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851" w:type="dxa"/>
            <w:tcBorders/>
            <w:shd w:fill="FFFFFF" w:val="clear"/>
            <w:vAlign w:val="center"/>
          </w:tcPr>
          <w:p>
            <w:pPr>
              <w:pStyle w:val="TableContents"/>
              <w:bidi w:val="0"/>
              <w:spacing w:before="0" w:after="283"/>
              <w:jc w:val="right"/>
              <w:rPr/>
            </w:pPr>
            <w:r>
              <w:rPr/>
              <w:t> </w:t>
            </w:r>
          </w:p>
        </w:tc>
        <w:tc>
          <w:tcPr>
            <w:tcW w:w="78" w:type="dxa"/>
            <w:tcBorders/>
            <w:shd w:fill="FFFFFF" w:val="clear"/>
            <w:vAlign w:val="center"/>
          </w:tcPr>
          <w:p>
            <w:pPr>
              <w:pStyle w:val="TableContents"/>
              <w:bidi w:val="0"/>
              <w:spacing w:before="0" w:after="283"/>
              <w:jc w:val="left"/>
              <w:rPr/>
            </w:pPr>
            <w:r>
              <w:rPr/>
              <w:t> </w:t>
            </w:r>
          </w:p>
        </w:tc>
      </w:tr>
      <w:tr>
        <w:trPr/>
        <w:tc>
          <w:tcPr>
            <w:tcW w:w="4934" w:type="dxa"/>
            <w:tcBorders/>
            <w:shd w:fill="CCEEFF" w:val="clear"/>
            <w:vAlign w:val="center"/>
          </w:tcPr>
          <w:p>
            <w:pPr>
              <w:pStyle w:val="TableContents"/>
              <w:bidi w:val="0"/>
              <w:spacing w:before="0" w:after="283"/>
              <w:jc w:val="left"/>
              <w:rPr>
                <w:sz w:val="20"/>
              </w:rPr>
            </w:pPr>
            <w:r>
              <w:rPr>
                <w:sz w:val="20"/>
              </w:rPr>
              <w:t>INVESTMENT IN CABLE PROPERTIES:</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84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8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position w:val="8"/>
                <w:sz w:val="19"/>
              </w:rPr>
              <w:t> </w:t>
            </w: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851" w:type="dxa"/>
            <w:tcBorders/>
            <w:shd w:fill="CCEEFF" w:val="clear"/>
            <w:vAlign w:val="center"/>
          </w:tcPr>
          <w:p>
            <w:pPr>
              <w:pStyle w:val="TableContents"/>
              <w:bidi w:val="0"/>
              <w:spacing w:before="0" w:after="283"/>
              <w:jc w:val="right"/>
              <w:rPr/>
            </w:pPr>
            <w:r>
              <w:rPr/>
              <w:t> </w:t>
            </w:r>
          </w:p>
        </w:tc>
        <w:tc>
          <w:tcPr>
            <w:tcW w:w="78" w:type="dxa"/>
            <w:tcBorders/>
            <w:shd w:fill="CCEEFF" w:val="clear"/>
            <w:vAlign w:val="center"/>
          </w:tcPr>
          <w:p>
            <w:pPr>
              <w:pStyle w:val="TableContents"/>
              <w:bidi w:val="0"/>
              <w:spacing w:before="0" w:after="283"/>
              <w:ind w:left="0" w:right="0" w:hanging="180"/>
              <w:jc w:val="left"/>
              <w:rPr/>
            </w:pPr>
            <w:r>
              <w:rPr/>
              <w:t> </w:t>
            </w:r>
          </w:p>
        </w:tc>
      </w:tr>
      <w:tr>
        <w:trPr/>
        <w:tc>
          <w:tcPr>
            <w:tcW w:w="4934" w:type="dxa"/>
            <w:tcBorders/>
            <w:shd w:fill="FFFFFF" w:val="clear"/>
            <w:vAlign w:val="center"/>
          </w:tcPr>
          <w:p>
            <w:pPr>
              <w:pStyle w:val="TableContents"/>
              <w:bidi w:val="0"/>
              <w:spacing w:before="0" w:after="283"/>
              <w:jc w:val="left"/>
              <w:rPr>
                <w:sz w:val="20"/>
              </w:rPr>
            </w:pPr>
            <w:r>
              <w:rPr>
                <w:sz w:val="20"/>
              </w:rPr>
              <w:t>Property, plant and equipment, net</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840" w:type="dxa"/>
            <w:tcBorders/>
            <w:shd w:fill="FFFFFF" w:val="clear"/>
            <w:vAlign w:val="center"/>
          </w:tcPr>
          <w:p>
            <w:pPr>
              <w:pStyle w:val="TableContents"/>
              <w:bidi w:val="0"/>
              <w:spacing w:before="0" w:after="283"/>
              <w:jc w:val="right"/>
              <w:rPr>
                <w:sz w:val="20"/>
              </w:rPr>
            </w:pPr>
            <w:r>
              <w:rPr>
                <w:sz w:val="20"/>
              </w:rPr>
              <w:t>47,198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sz w:val="20"/>
              </w:rPr>
            </w:pPr>
            <w:r>
              <w:rPr>
                <w:sz w:val="20"/>
              </w:rPr>
              <w:t>12,534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885" w:type="dxa"/>
            <w:tcBorders/>
            <w:shd w:fill="FFFFFF" w:val="clear"/>
            <w:vAlign w:val="center"/>
          </w:tcPr>
          <w:p>
            <w:pPr>
              <w:pStyle w:val="TableContents"/>
              <w:bidi w:val="0"/>
              <w:spacing w:before="0" w:after="283"/>
              <w:jc w:val="right"/>
              <w:rPr>
                <w:sz w:val="20"/>
              </w:rPr>
            </w:pPr>
            <w:r>
              <w:rPr>
                <w:sz w:val="20"/>
              </w:rPr>
              <w:t>3,966</w:t>
            </w:r>
          </w:p>
        </w:tc>
        <w:tc>
          <w:tcPr>
            <w:tcW w:w="8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sz w:val="20"/>
              </w:rPr>
            </w:pPr>
            <w:r>
              <w:rPr>
                <w:position w:val="7"/>
                <w:sz w:val="16"/>
                <w:sz w:val="20"/>
              </w:rPr>
              <w:t>1c</w:t>
            </w:r>
            <w:r>
              <w:rPr>
                <w:sz w:val="20"/>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851" w:type="dxa"/>
            <w:tcBorders/>
            <w:shd w:fill="FFFFFF" w:val="clear"/>
            <w:vAlign w:val="center"/>
          </w:tcPr>
          <w:p>
            <w:pPr>
              <w:pStyle w:val="TableContents"/>
              <w:bidi w:val="0"/>
              <w:spacing w:before="0" w:after="283"/>
              <w:jc w:val="right"/>
              <w:rPr>
                <w:sz w:val="20"/>
              </w:rPr>
            </w:pPr>
            <w:r>
              <w:rPr>
                <w:sz w:val="20"/>
              </w:rPr>
              <w:t>63,698</w:t>
            </w:r>
          </w:p>
        </w:tc>
        <w:tc>
          <w:tcPr>
            <w:tcW w:w="78" w:type="dxa"/>
            <w:tcBorders/>
            <w:shd w:fill="FFFFFF" w:val="clear"/>
            <w:vAlign w:val="center"/>
          </w:tcPr>
          <w:p>
            <w:pPr>
              <w:pStyle w:val="TableContents"/>
              <w:bidi w:val="0"/>
              <w:spacing w:before="0" w:after="283"/>
              <w:jc w:val="left"/>
              <w:rPr/>
            </w:pPr>
            <w:r>
              <w:rPr/>
              <w:t> </w:t>
            </w:r>
          </w:p>
        </w:tc>
      </w:tr>
      <w:tr>
        <w:trPr/>
        <w:tc>
          <w:tcPr>
            <w:tcW w:w="4934" w:type="dxa"/>
            <w:tcBorders/>
            <w:shd w:fill="CCEEFF" w:val="clear"/>
            <w:vAlign w:val="center"/>
          </w:tcPr>
          <w:p>
            <w:pPr>
              <w:pStyle w:val="TableContents"/>
              <w:bidi w:val="0"/>
              <w:spacing w:before="0" w:after="283"/>
              <w:jc w:val="left"/>
              <w:rPr>
                <w:sz w:val="20"/>
              </w:rPr>
            </w:pPr>
            <w:r>
              <w:rPr>
                <w:sz w:val="20"/>
              </w:rPr>
              <w:t>Customer relationships, net</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840" w:type="dxa"/>
            <w:tcBorders/>
            <w:shd w:fill="CCEEFF" w:val="clear"/>
            <w:vAlign w:val="center"/>
          </w:tcPr>
          <w:p>
            <w:pPr>
              <w:pStyle w:val="TableContents"/>
              <w:bidi w:val="0"/>
              <w:spacing w:before="0" w:after="283"/>
              <w:jc w:val="right"/>
              <w:rPr>
                <w:sz w:val="20"/>
              </w:rPr>
            </w:pPr>
            <w:r>
              <w:rPr>
                <w:sz w:val="20"/>
              </w:rPr>
              <w:t>324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sz w:val="20"/>
              </w:rPr>
            </w:pPr>
            <w:r>
              <w:rPr>
                <w:sz w:val="20"/>
              </w:rPr>
              <w:t>485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85" w:type="dxa"/>
            <w:tcBorders/>
            <w:shd w:fill="CCEEFF" w:val="clear"/>
            <w:vAlign w:val="center"/>
          </w:tcPr>
          <w:p>
            <w:pPr>
              <w:pStyle w:val="TableContents"/>
              <w:bidi w:val="0"/>
              <w:spacing w:before="0" w:after="283"/>
              <w:jc w:val="right"/>
              <w:rPr>
                <w:sz w:val="20"/>
              </w:rPr>
            </w:pPr>
            <w:r>
              <w:rPr>
                <w:sz w:val="20"/>
              </w:rPr>
              <w:t>3,115</w:t>
            </w:r>
          </w:p>
        </w:tc>
        <w:tc>
          <w:tcPr>
            <w:tcW w:w="8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sz w:val="20"/>
              </w:rPr>
            </w:pPr>
            <w:r>
              <w:rPr>
                <w:position w:val="7"/>
                <w:sz w:val="16"/>
                <w:sz w:val="20"/>
              </w:rPr>
              <w:t>1c</w:t>
            </w:r>
            <w:r>
              <w:rPr>
                <w:sz w:val="20"/>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851" w:type="dxa"/>
            <w:tcBorders/>
            <w:shd w:fill="CCEEFF" w:val="clear"/>
            <w:vAlign w:val="center"/>
          </w:tcPr>
          <w:p>
            <w:pPr>
              <w:pStyle w:val="TableContents"/>
              <w:bidi w:val="0"/>
              <w:spacing w:before="0" w:after="283"/>
              <w:jc w:val="right"/>
              <w:rPr>
                <w:sz w:val="20"/>
              </w:rPr>
            </w:pPr>
            <w:r>
              <w:rPr>
                <w:sz w:val="20"/>
              </w:rPr>
              <w:t>3,924</w:t>
            </w:r>
          </w:p>
        </w:tc>
        <w:tc>
          <w:tcPr>
            <w:tcW w:w="78" w:type="dxa"/>
            <w:tcBorders/>
            <w:shd w:fill="CCEEFF" w:val="clear"/>
            <w:vAlign w:val="center"/>
          </w:tcPr>
          <w:p>
            <w:pPr>
              <w:pStyle w:val="TableContents"/>
              <w:bidi w:val="0"/>
              <w:spacing w:before="0" w:after="283"/>
              <w:jc w:val="left"/>
              <w:rPr/>
            </w:pPr>
            <w:r>
              <w:rPr/>
              <w:t> </w:t>
            </w:r>
          </w:p>
        </w:tc>
      </w:tr>
      <w:tr>
        <w:trPr/>
        <w:tc>
          <w:tcPr>
            <w:tcW w:w="4934" w:type="dxa"/>
            <w:tcBorders/>
            <w:shd w:fill="FFFFFF" w:val="clear"/>
            <w:vAlign w:val="center"/>
          </w:tcPr>
          <w:p>
            <w:pPr>
              <w:pStyle w:val="TableContents"/>
              <w:bidi w:val="0"/>
              <w:spacing w:before="0" w:after="283"/>
              <w:jc w:val="left"/>
              <w:rPr>
                <w:sz w:val="20"/>
              </w:rPr>
            </w:pPr>
            <w:r>
              <w:rPr>
                <w:sz w:val="20"/>
              </w:rPr>
              <w:t>Franchises</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840" w:type="dxa"/>
            <w:tcBorders/>
            <w:shd w:fill="FFFFFF" w:val="clear"/>
            <w:vAlign w:val="center"/>
          </w:tcPr>
          <w:p>
            <w:pPr>
              <w:pStyle w:val="TableContents"/>
              <w:bidi w:val="0"/>
              <w:spacing w:before="0" w:after="283"/>
              <w:jc w:val="right"/>
              <w:rPr>
                <w:sz w:val="20"/>
              </w:rPr>
            </w:pPr>
            <w:r>
              <w:rPr>
                <w:sz w:val="20"/>
              </w:rPr>
              <w:t>67,471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sz w:val="20"/>
              </w:rPr>
            </w:pPr>
            <w:r>
              <w:rPr>
                <w:sz w:val="20"/>
              </w:rPr>
              <w:t>10,275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885" w:type="dxa"/>
            <w:tcBorders/>
            <w:shd w:fill="FFFFFF" w:val="clear"/>
            <w:vAlign w:val="center"/>
          </w:tcPr>
          <w:p>
            <w:pPr>
              <w:pStyle w:val="TableContents"/>
              <w:bidi w:val="0"/>
              <w:spacing w:before="0" w:after="283"/>
              <w:jc w:val="right"/>
              <w:rPr>
                <w:sz w:val="20"/>
              </w:rPr>
            </w:pPr>
            <w:r>
              <w:rPr>
                <w:sz w:val="20"/>
              </w:rPr>
              <w:t>(3,800</w:t>
            </w:r>
          </w:p>
        </w:tc>
        <w:tc>
          <w:tcPr>
            <w:tcW w:w="80" w:type="dxa"/>
            <w:tcBorders/>
            <w:shd w:fill="FFFFFF" w:val="clear"/>
            <w:vAlign w:val="center"/>
          </w:tcPr>
          <w:p>
            <w:pPr>
              <w:pStyle w:val="TableContents"/>
              <w:bidi w:val="0"/>
              <w:spacing w:before="0" w:after="283"/>
              <w:jc w:val="left"/>
              <w:rPr>
                <w:sz w:val="20"/>
              </w:rPr>
            </w:pPr>
            <w:r>
              <w:rPr>
                <w:sz w:val="20"/>
              </w:rPr>
              <w:t>)</w:t>
            </w:r>
          </w:p>
        </w:tc>
        <w:tc>
          <w:tcPr>
            <w:tcW w:w="245" w:type="dxa"/>
            <w:tcBorders/>
            <w:shd w:fill="FFFFFF" w:val="clear"/>
            <w:vAlign w:val="center"/>
          </w:tcPr>
          <w:p>
            <w:pPr>
              <w:pStyle w:val="TableContents"/>
              <w:bidi w:val="0"/>
              <w:spacing w:before="0" w:after="283"/>
              <w:jc w:val="left"/>
              <w:rPr>
                <w:sz w:val="20"/>
              </w:rPr>
            </w:pPr>
            <w:r>
              <w:rPr>
                <w:position w:val="7"/>
                <w:sz w:val="16"/>
                <w:sz w:val="20"/>
              </w:rPr>
              <w:t>1c</w:t>
            </w:r>
            <w:r>
              <w:rPr>
                <w:sz w:val="20"/>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851" w:type="dxa"/>
            <w:tcBorders/>
            <w:shd w:fill="FFFFFF" w:val="clear"/>
            <w:vAlign w:val="center"/>
          </w:tcPr>
          <w:p>
            <w:pPr>
              <w:pStyle w:val="TableContents"/>
              <w:bidi w:val="0"/>
              <w:spacing w:before="0" w:after="283"/>
              <w:jc w:val="right"/>
              <w:rPr>
                <w:sz w:val="20"/>
              </w:rPr>
            </w:pPr>
            <w:r>
              <w:rPr>
                <w:sz w:val="20"/>
              </w:rPr>
              <w:t>73,946</w:t>
            </w:r>
          </w:p>
        </w:tc>
        <w:tc>
          <w:tcPr>
            <w:tcW w:w="78" w:type="dxa"/>
            <w:tcBorders/>
            <w:shd w:fill="FFFFFF" w:val="clear"/>
            <w:vAlign w:val="center"/>
          </w:tcPr>
          <w:p>
            <w:pPr>
              <w:pStyle w:val="TableContents"/>
              <w:bidi w:val="0"/>
              <w:spacing w:before="0" w:after="283"/>
              <w:jc w:val="left"/>
              <w:rPr/>
            </w:pPr>
            <w:r>
              <w:rPr/>
              <w:t> </w:t>
            </w:r>
          </w:p>
        </w:tc>
      </w:tr>
      <w:tr>
        <w:trPr/>
        <w:tc>
          <w:tcPr>
            <w:tcW w:w="4934" w:type="dxa"/>
            <w:tcBorders/>
            <w:shd w:fill="CCEEFF" w:val="clear"/>
            <w:vAlign w:val="center"/>
          </w:tcPr>
          <w:p>
            <w:pPr>
              <w:pStyle w:val="TableContents"/>
              <w:bidi w:val="0"/>
              <w:spacing w:before="0" w:after="283"/>
              <w:jc w:val="left"/>
              <w:rPr>
                <w:sz w:val="20"/>
              </w:rPr>
            </w:pPr>
            <w:r>
              <w:rPr>
                <w:sz w:val="20"/>
              </w:rPr>
              <w:t>Goodwill</w:t>
            </w:r>
          </w:p>
        </w:tc>
        <w:tc>
          <w:tcPr>
            <w:tcW w:w="60" w:type="dxa"/>
            <w:tcBorders/>
            <w:shd w:fill="CCEEFF" w:val="clear"/>
            <w:vAlign w:val="center"/>
          </w:tcPr>
          <w:p>
            <w:pPr>
              <w:pStyle w:val="TableContents"/>
              <w:bidi w:val="0"/>
              <w:spacing w:before="0" w:after="283"/>
              <w:jc w:val="left"/>
              <w:rPr/>
            </w:pPr>
            <w:r>
              <w:rPr/>
              <w:t> </w:t>
            </w:r>
          </w:p>
        </w:tc>
        <w:tc>
          <w:tcPr>
            <w:tcW w:w="15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40"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29,710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1,260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8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(1,260</w:t>
            </w:r>
          </w:p>
        </w:tc>
        <w:tc>
          <w:tcPr>
            <w:tcW w:w="80" w:type="dxa"/>
            <w:tcBorders/>
            <w:shd w:fill="CCEEFF" w:val="clear"/>
            <w:vAlign w:val="center"/>
          </w:tcPr>
          <w:p>
            <w:pPr>
              <w:pStyle w:val="TableContents"/>
              <w:bidi w:val="0"/>
              <w:spacing w:before="0" w:after="283"/>
              <w:jc w:val="left"/>
              <w:rPr>
                <w:sz w:val="20"/>
              </w:rPr>
            </w:pPr>
            <w:r>
              <w:rPr>
                <w:sz w:val="20"/>
              </w:rPr>
              <w:t>)</w:t>
            </w:r>
          </w:p>
        </w:tc>
        <w:tc>
          <w:tcPr>
            <w:tcW w:w="245" w:type="dxa"/>
            <w:tcBorders/>
            <w:shd w:fill="CCEEFF" w:val="clear"/>
            <w:vAlign w:val="center"/>
          </w:tcPr>
          <w:p>
            <w:pPr>
              <w:pStyle w:val="TableContents"/>
              <w:bidi w:val="0"/>
              <w:spacing w:before="0" w:after="283"/>
              <w:jc w:val="left"/>
              <w:rPr>
                <w:sz w:val="20"/>
              </w:rPr>
            </w:pPr>
            <w:r>
              <w:rPr>
                <w:position w:val="7"/>
                <w:sz w:val="16"/>
                <w:sz w:val="20"/>
              </w:rPr>
              <w:t>1c</w:t>
            </w:r>
            <w:r>
              <w:rPr>
                <w:sz w:val="20"/>
              </w:rPr>
              <w:t> </w:t>
            </w:r>
          </w:p>
        </w:tc>
        <w:tc>
          <w:tcPr>
            <w:tcW w:w="60" w:type="dxa"/>
            <w:tcBorders/>
            <w:shd w:fill="CCEEFF" w:val="clear"/>
            <w:vAlign w:val="center"/>
          </w:tcPr>
          <w:p>
            <w:pPr>
              <w:pStyle w:val="TableContents"/>
              <w:bidi w:val="0"/>
              <w:spacing w:before="0" w:after="283"/>
              <w:jc w:val="left"/>
              <w:rPr/>
            </w:pPr>
            <w:r>
              <w:rPr/>
              <w:t> </w:t>
            </w:r>
          </w:p>
        </w:tc>
        <w:tc>
          <w:tcPr>
            <w:tcW w:w="15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51"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29,710</w:t>
            </w:r>
          </w:p>
        </w:tc>
        <w:tc>
          <w:tcPr>
            <w:tcW w:w="78" w:type="dxa"/>
            <w:tcBorders/>
            <w:shd w:fill="CCEEFF" w:val="clear"/>
            <w:vAlign w:val="center"/>
          </w:tcPr>
          <w:p>
            <w:pPr>
              <w:pStyle w:val="TableContents"/>
              <w:bidi w:val="0"/>
              <w:spacing w:before="0" w:after="283"/>
              <w:jc w:val="left"/>
              <w:rPr/>
            </w:pPr>
            <w:r>
              <w:rPr/>
              <w:t> </w:t>
            </w:r>
          </w:p>
        </w:tc>
      </w:tr>
      <w:tr>
        <w:trPr/>
        <w:tc>
          <w:tcPr>
            <w:tcW w:w="4934" w:type="dxa"/>
            <w:tcBorders/>
            <w:shd w:fill="FFFFFF" w:val="clear"/>
            <w:vAlign w:val="center"/>
          </w:tcPr>
          <w:p>
            <w:pPr>
              <w:pStyle w:val="TableContents"/>
              <w:bidi w:val="0"/>
              <w:spacing w:before="0" w:after="283"/>
              <w:jc w:val="left"/>
              <w:rPr>
                <w:sz w:val="20"/>
              </w:rPr>
            </w:pPr>
            <w:r>
              <w:rPr>
                <w:sz w:val="20"/>
              </w:rPr>
              <w:t>Total investment in cable properties, net</w:t>
            </w:r>
          </w:p>
        </w:tc>
        <w:tc>
          <w:tcPr>
            <w:tcW w:w="60" w:type="dxa"/>
            <w:tcBorders/>
            <w:shd w:fill="FFFFFF" w:val="clear"/>
            <w:vAlign w:val="center"/>
          </w:tcPr>
          <w:p>
            <w:pPr>
              <w:pStyle w:val="TableContents"/>
              <w:bidi w:val="0"/>
              <w:spacing w:before="0" w:after="283"/>
              <w:jc w:val="left"/>
              <w:rPr/>
            </w:pPr>
            <w:r>
              <w:rPr/>
              <w:t> </w:t>
            </w:r>
          </w:p>
        </w:tc>
        <w:tc>
          <w:tcPr>
            <w:tcW w:w="15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40"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144,703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24,554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8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2,021</w:t>
            </w:r>
          </w:p>
        </w:tc>
        <w:tc>
          <w:tcPr>
            <w:tcW w:w="8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position w:val="8"/>
                <w:sz w:val="19"/>
              </w:rPr>
              <w:t> </w:t>
            </w: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51"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171,278</w:t>
            </w:r>
          </w:p>
        </w:tc>
        <w:tc>
          <w:tcPr>
            <w:tcW w:w="78" w:type="dxa"/>
            <w:tcBorders/>
            <w:shd w:fill="FFFFFF" w:val="clear"/>
            <w:vAlign w:val="center"/>
          </w:tcPr>
          <w:p>
            <w:pPr>
              <w:pStyle w:val="TableContents"/>
              <w:bidi w:val="0"/>
              <w:spacing w:before="0" w:after="283"/>
              <w:jc w:val="left"/>
              <w:rPr/>
            </w:pPr>
            <w:r>
              <w:rPr/>
              <w:t> </w:t>
            </w:r>
          </w:p>
        </w:tc>
      </w:tr>
      <w:tr>
        <w:trPr/>
        <w:tc>
          <w:tcPr>
            <w:tcW w:w="493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84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8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position w:val="8"/>
                <w:sz w:val="19"/>
              </w:rPr>
              <w:t> </w:t>
            </w: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851" w:type="dxa"/>
            <w:tcBorders/>
            <w:shd w:fill="CCEEFF" w:val="clear"/>
            <w:vAlign w:val="center"/>
          </w:tcPr>
          <w:p>
            <w:pPr>
              <w:pStyle w:val="TableContents"/>
              <w:bidi w:val="0"/>
              <w:spacing w:before="0" w:after="283"/>
              <w:jc w:val="right"/>
              <w:rPr/>
            </w:pPr>
            <w:r>
              <w:rPr/>
              <w:t> </w:t>
            </w:r>
          </w:p>
        </w:tc>
        <w:tc>
          <w:tcPr>
            <w:tcW w:w="78" w:type="dxa"/>
            <w:tcBorders/>
            <w:shd w:fill="CCEEFF" w:val="clear"/>
            <w:vAlign w:val="center"/>
          </w:tcPr>
          <w:p>
            <w:pPr>
              <w:pStyle w:val="TableContents"/>
              <w:bidi w:val="0"/>
              <w:spacing w:before="0" w:after="283"/>
              <w:jc w:val="left"/>
              <w:rPr/>
            </w:pPr>
            <w:r>
              <w:rPr/>
              <w:t> </w:t>
            </w:r>
          </w:p>
        </w:tc>
      </w:tr>
      <w:tr>
        <w:trPr/>
        <w:tc>
          <w:tcPr>
            <w:tcW w:w="4934" w:type="dxa"/>
            <w:tcBorders/>
            <w:shd w:fill="FFFFFF" w:val="clear"/>
            <w:vAlign w:val="center"/>
          </w:tcPr>
          <w:p>
            <w:pPr>
              <w:pStyle w:val="TableContents"/>
              <w:bidi w:val="0"/>
              <w:spacing w:before="0" w:after="283"/>
              <w:jc w:val="left"/>
              <w:rPr>
                <w:sz w:val="20"/>
              </w:rPr>
            </w:pPr>
            <w:r>
              <w:rPr>
                <w:sz w:val="20"/>
              </w:rPr>
              <w:t>OTHER NONCURRENT ASSETS</w:t>
            </w:r>
          </w:p>
        </w:tc>
        <w:tc>
          <w:tcPr>
            <w:tcW w:w="60" w:type="dxa"/>
            <w:tcBorders/>
            <w:shd w:fill="FFFFFF" w:val="clear"/>
            <w:vAlign w:val="center"/>
          </w:tcPr>
          <w:p>
            <w:pPr>
              <w:pStyle w:val="TableContents"/>
              <w:bidi w:val="0"/>
              <w:spacing w:before="0" w:after="283"/>
              <w:jc w:val="left"/>
              <w:rPr/>
            </w:pPr>
            <w:r>
              <w:rPr/>
              <w:t> </w:t>
            </w:r>
          </w:p>
        </w:tc>
        <w:tc>
          <w:tcPr>
            <w:tcW w:w="15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40"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4,981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991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8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(351</w:t>
            </w:r>
          </w:p>
        </w:tc>
        <w:tc>
          <w:tcPr>
            <w:tcW w:w="80" w:type="dxa"/>
            <w:tcBorders/>
            <w:shd w:fill="FFFFFF" w:val="clear"/>
            <w:vAlign w:val="center"/>
          </w:tcPr>
          <w:p>
            <w:pPr>
              <w:pStyle w:val="TableContents"/>
              <w:bidi w:val="0"/>
              <w:spacing w:before="0" w:after="283"/>
              <w:jc w:val="left"/>
              <w:rPr>
                <w:sz w:val="20"/>
              </w:rPr>
            </w:pPr>
            <w:r>
              <w:rPr>
                <w:sz w:val="20"/>
              </w:rPr>
              <w:t>)</w:t>
            </w:r>
          </w:p>
        </w:tc>
        <w:tc>
          <w:tcPr>
            <w:tcW w:w="245" w:type="dxa"/>
            <w:tcBorders/>
            <w:shd w:fill="FFFFFF" w:val="clear"/>
            <w:vAlign w:val="center"/>
          </w:tcPr>
          <w:p>
            <w:pPr>
              <w:pStyle w:val="TableContents"/>
              <w:bidi w:val="0"/>
              <w:spacing w:before="0" w:after="283"/>
              <w:jc w:val="left"/>
              <w:rPr>
                <w:sz w:val="20"/>
              </w:rPr>
            </w:pPr>
            <w:r>
              <w:rPr>
                <w:position w:val="7"/>
                <w:sz w:val="16"/>
                <w:sz w:val="20"/>
              </w:rPr>
              <w:t>1d</w:t>
            </w:r>
            <w:r>
              <w:rPr>
                <w:sz w:val="20"/>
              </w:rPr>
              <w:t> </w:t>
            </w:r>
          </w:p>
        </w:tc>
        <w:tc>
          <w:tcPr>
            <w:tcW w:w="60" w:type="dxa"/>
            <w:tcBorders/>
            <w:shd w:fill="FFFFFF" w:val="clear"/>
            <w:vAlign w:val="center"/>
          </w:tcPr>
          <w:p>
            <w:pPr>
              <w:pStyle w:val="TableContents"/>
              <w:bidi w:val="0"/>
              <w:spacing w:before="0" w:after="283"/>
              <w:jc w:val="left"/>
              <w:rPr/>
            </w:pPr>
            <w:r>
              <w:rPr/>
              <w:t> </w:t>
            </w:r>
          </w:p>
        </w:tc>
        <w:tc>
          <w:tcPr>
            <w:tcW w:w="15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51"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5,621</w:t>
            </w:r>
          </w:p>
        </w:tc>
        <w:tc>
          <w:tcPr>
            <w:tcW w:w="78" w:type="dxa"/>
            <w:tcBorders/>
            <w:shd w:fill="FFFFFF" w:val="clear"/>
            <w:vAlign w:val="center"/>
          </w:tcPr>
          <w:p>
            <w:pPr>
              <w:pStyle w:val="TableContents"/>
              <w:bidi w:val="0"/>
              <w:spacing w:before="0" w:after="283"/>
              <w:jc w:val="left"/>
              <w:rPr/>
            </w:pPr>
            <w:r>
              <w:rPr/>
              <w:t> </w:t>
            </w:r>
          </w:p>
        </w:tc>
      </w:tr>
      <w:tr>
        <w:trPr/>
        <w:tc>
          <w:tcPr>
            <w:tcW w:w="493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84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8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position w:val="8"/>
                <w:sz w:val="19"/>
              </w:rPr>
              <w:t> </w:t>
            </w: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851" w:type="dxa"/>
            <w:tcBorders/>
            <w:shd w:fill="CCEEFF" w:val="clear"/>
            <w:vAlign w:val="center"/>
          </w:tcPr>
          <w:p>
            <w:pPr>
              <w:pStyle w:val="TableContents"/>
              <w:bidi w:val="0"/>
              <w:spacing w:before="0" w:after="283"/>
              <w:jc w:val="right"/>
              <w:rPr/>
            </w:pPr>
            <w:r>
              <w:rPr/>
              <w:t> </w:t>
            </w:r>
          </w:p>
        </w:tc>
        <w:tc>
          <w:tcPr>
            <w:tcW w:w="78" w:type="dxa"/>
            <w:tcBorders/>
            <w:shd w:fill="CCEEFF" w:val="clear"/>
            <w:vAlign w:val="center"/>
          </w:tcPr>
          <w:p>
            <w:pPr>
              <w:pStyle w:val="TableContents"/>
              <w:bidi w:val="0"/>
              <w:spacing w:before="0" w:after="283"/>
              <w:jc w:val="left"/>
              <w:rPr/>
            </w:pPr>
            <w:r>
              <w:rPr/>
              <w:t> </w:t>
            </w:r>
          </w:p>
        </w:tc>
      </w:tr>
      <w:tr>
        <w:trPr/>
        <w:tc>
          <w:tcPr>
            <w:tcW w:w="4934" w:type="dxa"/>
            <w:tcBorders/>
            <w:shd w:fill="FFFFFF" w:val="clear"/>
            <w:vAlign w:val="center"/>
          </w:tcPr>
          <w:p>
            <w:pPr>
              <w:pStyle w:val="TableContents"/>
              <w:bidi w:val="0"/>
              <w:spacing w:before="0" w:after="283"/>
              <w:jc w:val="left"/>
              <w:rPr>
                <w:sz w:val="20"/>
              </w:rPr>
            </w:pPr>
            <w:r>
              <w:rPr>
                <w:sz w:val="20"/>
              </w:rPr>
              <w:t>Total assets</w:t>
            </w:r>
          </w:p>
        </w:tc>
        <w:tc>
          <w:tcPr>
            <w:tcW w:w="60" w:type="dxa"/>
            <w:tcBorders/>
            <w:shd w:fill="FFFFFF" w:val="clear"/>
            <w:vAlign w:val="center"/>
          </w:tcPr>
          <w:p>
            <w:pPr>
              <w:pStyle w:val="TableContents"/>
              <w:bidi w:val="0"/>
              <w:spacing w:before="0" w:after="283"/>
              <w:jc w:val="left"/>
              <w:rPr/>
            </w:pPr>
            <w:r>
              <w:rPr/>
              <w:t> </w:t>
            </w:r>
          </w:p>
        </w:tc>
        <w:tc>
          <w:tcPr>
            <w:tcW w:w="150"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840"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154,644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5"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1205"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30,788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885"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(2,638</w:t>
            </w:r>
          </w:p>
        </w:tc>
        <w:tc>
          <w:tcPr>
            <w:tcW w:w="80" w:type="dxa"/>
            <w:tcBorders/>
            <w:shd w:fill="FFFFFF" w:val="clear"/>
            <w:vAlign w:val="center"/>
          </w:tcPr>
          <w:p>
            <w:pPr>
              <w:pStyle w:val="TableContents"/>
              <w:bidi w:val="0"/>
              <w:spacing w:before="0" w:after="283"/>
              <w:jc w:val="left"/>
              <w:rPr>
                <w:sz w:val="20"/>
              </w:rPr>
            </w:pPr>
            <w:r>
              <w:rPr>
                <w:sz w:val="20"/>
              </w:rPr>
              <w:t>)</w:t>
            </w:r>
          </w:p>
        </w:tc>
        <w:tc>
          <w:tcPr>
            <w:tcW w:w="245" w:type="dxa"/>
            <w:tcBorders/>
            <w:shd w:fill="FFFFFF" w:val="clear"/>
            <w:vAlign w:val="center"/>
          </w:tcPr>
          <w:p>
            <w:pPr>
              <w:pStyle w:val="TableContents"/>
              <w:bidi w:val="0"/>
              <w:spacing w:before="0" w:after="283"/>
              <w:jc w:val="left"/>
              <w:rPr/>
            </w:pPr>
            <w:r>
              <w:rPr>
                <w:position w:val="8"/>
                <w:sz w:val="19"/>
              </w:rPr>
              <w:t> </w:t>
            </w: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851"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182,794</w:t>
            </w:r>
          </w:p>
        </w:tc>
        <w:tc>
          <w:tcPr>
            <w:tcW w:w="78" w:type="dxa"/>
            <w:tcBorders/>
            <w:shd w:fill="FFFFFF" w:val="clear"/>
            <w:vAlign w:val="center"/>
          </w:tcPr>
          <w:p>
            <w:pPr>
              <w:pStyle w:val="TableContents"/>
              <w:bidi w:val="0"/>
              <w:spacing w:before="0" w:after="283"/>
              <w:jc w:val="left"/>
              <w:rPr/>
            </w:pPr>
            <w:r>
              <w:rPr/>
              <w:t> </w:t>
            </w:r>
          </w:p>
        </w:tc>
      </w:tr>
      <w:tr>
        <w:trPr/>
        <w:tc>
          <w:tcPr>
            <w:tcW w:w="493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84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8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position w:val="8"/>
                <w:sz w:val="19"/>
              </w:rPr>
              <w:t> </w:t>
            </w: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851" w:type="dxa"/>
            <w:tcBorders/>
            <w:shd w:fill="CCEEFF" w:val="clear"/>
            <w:vAlign w:val="center"/>
          </w:tcPr>
          <w:p>
            <w:pPr>
              <w:pStyle w:val="TableContents"/>
              <w:bidi w:val="0"/>
              <w:spacing w:before="0" w:after="283"/>
              <w:jc w:val="right"/>
              <w:rPr/>
            </w:pPr>
            <w:r>
              <w:rPr/>
              <w:t> </w:t>
            </w:r>
          </w:p>
        </w:tc>
        <w:tc>
          <w:tcPr>
            <w:tcW w:w="78" w:type="dxa"/>
            <w:tcBorders/>
            <w:shd w:fill="CCEEFF" w:val="clear"/>
            <w:vAlign w:val="center"/>
          </w:tcPr>
          <w:p>
            <w:pPr>
              <w:pStyle w:val="TableContents"/>
              <w:bidi w:val="0"/>
              <w:spacing w:before="0" w:after="283"/>
              <w:jc w:val="left"/>
              <w:rPr/>
            </w:pPr>
            <w:r>
              <w:rPr/>
              <w:t> </w:t>
            </w:r>
          </w:p>
        </w:tc>
      </w:tr>
      <w:tr>
        <w:trPr/>
        <w:tc>
          <w:tcPr>
            <w:tcW w:w="4934" w:type="dxa"/>
            <w:tcBorders/>
            <w:shd w:fill="FFFFFF" w:val="clear"/>
            <w:vAlign w:val="center"/>
          </w:tcPr>
          <w:p>
            <w:pPr>
              <w:pStyle w:val="TableContents"/>
              <w:bidi w:val="0"/>
              <w:spacing w:before="0" w:after="283"/>
              <w:jc w:val="center"/>
              <w:rPr>
                <w:b/>
                <w:sz w:val="20"/>
              </w:rPr>
            </w:pPr>
            <w:r>
              <w:rPr>
                <w:b/>
                <w:sz w:val="20"/>
              </w:rPr>
              <w:t>LIABILITIES AND SHAREHOLDERS’ EQUITY</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84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88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position w:val="8"/>
                <w:sz w:val="19"/>
              </w:rPr>
              <w:t> </w:t>
            </w: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851" w:type="dxa"/>
            <w:tcBorders/>
            <w:shd w:fill="FFFFFF" w:val="clear"/>
            <w:vAlign w:val="center"/>
          </w:tcPr>
          <w:p>
            <w:pPr>
              <w:pStyle w:val="TableContents"/>
              <w:bidi w:val="0"/>
              <w:spacing w:before="0" w:after="283"/>
              <w:jc w:val="right"/>
              <w:rPr/>
            </w:pPr>
            <w:r>
              <w:rPr/>
              <w:t> </w:t>
            </w:r>
          </w:p>
        </w:tc>
        <w:tc>
          <w:tcPr>
            <w:tcW w:w="78" w:type="dxa"/>
            <w:tcBorders/>
            <w:shd w:fill="FFFFFF" w:val="clear"/>
            <w:vAlign w:val="center"/>
          </w:tcPr>
          <w:p>
            <w:pPr>
              <w:pStyle w:val="TableContents"/>
              <w:bidi w:val="0"/>
              <w:spacing w:before="0" w:after="283"/>
              <w:jc w:val="left"/>
              <w:rPr/>
            </w:pPr>
            <w:r>
              <w:rPr/>
              <w:t> </w:t>
            </w:r>
          </w:p>
        </w:tc>
      </w:tr>
      <w:tr>
        <w:trPr/>
        <w:tc>
          <w:tcPr>
            <w:tcW w:w="4934" w:type="dxa"/>
            <w:tcBorders/>
            <w:shd w:fill="CCEEFF" w:val="clear"/>
            <w:vAlign w:val="center"/>
          </w:tcPr>
          <w:p>
            <w:pPr>
              <w:pStyle w:val="TableContents"/>
              <w:bidi w:val="0"/>
              <w:spacing w:before="0" w:after="283"/>
              <w:jc w:val="left"/>
              <w:rPr>
                <w:sz w:val="20"/>
              </w:rPr>
            </w:pPr>
            <w:r>
              <w:rPr>
                <w:sz w:val="20"/>
              </w:rPr>
              <w:t>CURRENT LIABILITIES:</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84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8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position w:val="8"/>
                <w:sz w:val="19"/>
              </w:rPr>
              <w:t> </w:t>
            </w: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851" w:type="dxa"/>
            <w:tcBorders/>
            <w:shd w:fill="CCEEFF" w:val="clear"/>
            <w:vAlign w:val="center"/>
          </w:tcPr>
          <w:p>
            <w:pPr>
              <w:pStyle w:val="TableContents"/>
              <w:bidi w:val="0"/>
              <w:spacing w:before="0" w:after="283"/>
              <w:jc w:val="right"/>
              <w:rPr/>
            </w:pPr>
            <w:r>
              <w:rPr/>
              <w:t> </w:t>
            </w:r>
          </w:p>
        </w:tc>
        <w:tc>
          <w:tcPr>
            <w:tcW w:w="78" w:type="dxa"/>
            <w:tcBorders/>
            <w:shd w:fill="CCEEFF" w:val="clear"/>
            <w:vAlign w:val="center"/>
          </w:tcPr>
          <w:p>
            <w:pPr>
              <w:pStyle w:val="TableContents"/>
              <w:bidi w:val="0"/>
              <w:spacing w:before="0" w:after="283"/>
              <w:jc w:val="left"/>
              <w:rPr/>
            </w:pPr>
            <w:r>
              <w:rPr/>
              <w:t> </w:t>
            </w:r>
          </w:p>
        </w:tc>
      </w:tr>
      <w:tr>
        <w:trPr/>
        <w:tc>
          <w:tcPr>
            <w:tcW w:w="4934" w:type="dxa"/>
            <w:tcBorders/>
            <w:shd w:fill="FFFFFF" w:val="clear"/>
            <w:vAlign w:val="center"/>
          </w:tcPr>
          <w:p>
            <w:pPr>
              <w:pStyle w:val="TableContents"/>
              <w:bidi w:val="0"/>
              <w:spacing w:before="0" w:after="283"/>
              <w:jc w:val="left"/>
              <w:rPr>
                <w:sz w:val="20"/>
              </w:rPr>
            </w:pPr>
            <w:r>
              <w:rPr>
                <w:sz w:val="20"/>
              </w:rPr>
              <w:t>Accounts payable, accrued and other current liabilities</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sz w:val="20"/>
              </w:rPr>
            </w:pPr>
            <w:r>
              <w:rPr>
                <w:sz w:val="20"/>
              </w:rPr>
              <w:t>$</w:t>
            </w:r>
          </w:p>
        </w:tc>
        <w:tc>
          <w:tcPr>
            <w:tcW w:w="840" w:type="dxa"/>
            <w:tcBorders/>
            <w:shd w:fill="FFFFFF" w:val="clear"/>
            <w:vAlign w:val="center"/>
          </w:tcPr>
          <w:p>
            <w:pPr>
              <w:pStyle w:val="TableContents"/>
              <w:bidi w:val="0"/>
              <w:spacing w:before="0" w:after="283"/>
              <w:jc w:val="right"/>
              <w:rPr>
                <w:sz w:val="20"/>
              </w:rPr>
            </w:pPr>
            <w:r>
              <w:rPr>
                <w:sz w:val="20"/>
              </w:rPr>
              <w:t>12,375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sz w:val="20"/>
              </w:rPr>
            </w:pPr>
            <w:r>
              <w:rPr>
                <w:sz w:val="20"/>
              </w:rPr>
              <w:t>$</w:t>
            </w:r>
          </w:p>
        </w:tc>
        <w:tc>
          <w:tcPr>
            <w:tcW w:w="1205" w:type="dxa"/>
            <w:tcBorders/>
            <w:shd w:fill="FFFFFF" w:val="clear"/>
            <w:vAlign w:val="center"/>
          </w:tcPr>
          <w:p>
            <w:pPr>
              <w:pStyle w:val="TableContents"/>
              <w:bidi w:val="0"/>
              <w:spacing w:before="0" w:after="283"/>
              <w:jc w:val="right"/>
              <w:rPr>
                <w:sz w:val="20"/>
              </w:rPr>
            </w:pPr>
            <w:r>
              <w:rPr>
                <w:sz w:val="20"/>
              </w:rPr>
              <w:t>1,804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sz w:val="20"/>
              </w:rPr>
            </w:pPr>
            <w:r>
              <w:rPr>
                <w:sz w:val="20"/>
              </w:rPr>
              <w:t>$</w:t>
            </w:r>
          </w:p>
        </w:tc>
        <w:tc>
          <w:tcPr>
            <w:tcW w:w="885"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position w:val="8"/>
                <w:sz w:val="19"/>
              </w:rPr>
              <w:t> </w:t>
            </w: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sz w:val="20"/>
              </w:rPr>
            </w:pPr>
            <w:r>
              <w:rPr>
                <w:sz w:val="20"/>
              </w:rPr>
              <w:t>$</w:t>
            </w:r>
          </w:p>
        </w:tc>
        <w:tc>
          <w:tcPr>
            <w:tcW w:w="851" w:type="dxa"/>
            <w:tcBorders/>
            <w:shd w:fill="FFFFFF" w:val="clear"/>
            <w:vAlign w:val="center"/>
          </w:tcPr>
          <w:p>
            <w:pPr>
              <w:pStyle w:val="TableContents"/>
              <w:bidi w:val="0"/>
              <w:spacing w:before="0" w:after="283"/>
              <w:jc w:val="right"/>
              <w:rPr>
                <w:sz w:val="20"/>
              </w:rPr>
            </w:pPr>
            <w:r>
              <w:rPr>
                <w:sz w:val="20"/>
              </w:rPr>
              <w:t>14,179</w:t>
            </w:r>
          </w:p>
        </w:tc>
        <w:tc>
          <w:tcPr>
            <w:tcW w:w="78" w:type="dxa"/>
            <w:tcBorders/>
            <w:shd w:fill="FFFFFF" w:val="clear"/>
            <w:vAlign w:val="center"/>
          </w:tcPr>
          <w:p>
            <w:pPr>
              <w:pStyle w:val="TableContents"/>
              <w:bidi w:val="0"/>
              <w:spacing w:before="0" w:after="283"/>
              <w:jc w:val="left"/>
              <w:rPr/>
            </w:pPr>
            <w:r>
              <w:rPr/>
              <w:t> </w:t>
            </w:r>
          </w:p>
        </w:tc>
      </w:tr>
      <w:tr>
        <w:trPr/>
        <w:tc>
          <w:tcPr>
            <w:tcW w:w="4934" w:type="dxa"/>
            <w:tcBorders/>
            <w:shd w:fill="CCEEFF" w:val="clear"/>
            <w:vAlign w:val="center"/>
          </w:tcPr>
          <w:p>
            <w:pPr>
              <w:pStyle w:val="TableContents"/>
              <w:bidi w:val="0"/>
              <w:spacing w:before="0" w:after="283"/>
              <w:jc w:val="left"/>
              <w:rPr>
                <w:sz w:val="20"/>
              </w:rPr>
            </w:pPr>
            <w:r>
              <w:rPr>
                <w:sz w:val="20"/>
              </w:rPr>
              <w:t>Current portion of long-term debt</w:t>
            </w:r>
          </w:p>
        </w:tc>
        <w:tc>
          <w:tcPr>
            <w:tcW w:w="60" w:type="dxa"/>
            <w:tcBorders/>
            <w:shd w:fill="CCEEFF" w:val="clear"/>
            <w:vAlign w:val="center"/>
          </w:tcPr>
          <w:p>
            <w:pPr>
              <w:pStyle w:val="TableContents"/>
              <w:bidi w:val="0"/>
              <w:spacing w:before="0" w:after="283"/>
              <w:jc w:val="left"/>
              <w:rPr/>
            </w:pPr>
            <w:r>
              <w:rPr/>
              <w:t> </w:t>
            </w:r>
          </w:p>
        </w:tc>
        <w:tc>
          <w:tcPr>
            <w:tcW w:w="15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4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1,042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8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position w:val="8"/>
                <w:sz w:val="19"/>
              </w:rPr>
              <w:t> </w:t>
            </w: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51"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1,042</w:t>
            </w:r>
          </w:p>
        </w:tc>
        <w:tc>
          <w:tcPr>
            <w:tcW w:w="78" w:type="dxa"/>
            <w:tcBorders/>
            <w:shd w:fill="CCEEFF" w:val="clear"/>
            <w:vAlign w:val="center"/>
          </w:tcPr>
          <w:p>
            <w:pPr>
              <w:pStyle w:val="TableContents"/>
              <w:bidi w:val="0"/>
              <w:spacing w:before="0" w:after="283"/>
              <w:jc w:val="left"/>
              <w:rPr/>
            </w:pPr>
            <w:r>
              <w:rPr/>
              <w:t> </w:t>
            </w:r>
          </w:p>
        </w:tc>
      </w:tr>
      <w:tr>
        <w:trPr/>
        <w:tc>
          <w:tcPr>
            <w:tcW w:w="4934" w:type="dxa"/>
            <w:tcBorders/>
            <w:shd w:fill="FFFFFF" w:val="clear"/>
            <w:vAlign w:val="center"/>
          </w:tcPr>
          <w:p>
            <w:pPr>
              <w:pStyle w:val="TableContents"/>
              <w:bidi w:val="0"/>
              <w:spacing w:before="0" w:after="283"/>
              <w:jc w:val="left"/>
              <w:rPr>
                <w:sz w:val="20"/>
              </w:rPr>
            </w:pPr>
            <w:r>
              <w:rPr>
                <w:sz w:val="20"/>
              </w:rPr>
              <w:t>Total current liabilities</w:t>
            </w:r>
          </w:p>
        </w:tc>
        <w:tc>
          <w:tcPr>
            <w:tcW w:w="60" w:type="dxa"/>
            <w:tcBorders/>
            <w:shd w:fill="FFFFFF" w:val="clear"/>
            <w:vAlign w:val="center"/>
          </w:tcPr>
          <w:p>
            <w:pPr>
              <w:pStyle w:val="TableContents"/>
              <w:bidi w:val="0"/>
              <w:spacing w:before="0" w:after="283"/>
              <w:jc w:val="left"/>
              <w:rPr/>
            </w:pPr>
            <w:r>
              <w:rPr/>
              <w:t> </w:t>
            </w:r>
          </w:p>
        </w:tc>
        <w:tc>
          <w:tcPr>
            <w:tcW w:w="15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40"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12,375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2,846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8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position w:val="8"/>
                <w:sz w:val="19"/>
              </w:rPr>
              <w:t> </w:t>
            </w: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51"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15,221</w:t>
            </w:r>
          </w:p>
        </w:tc>
        <w:tc>
          <w:tcPr>
            <w:tcW w:w="78" w:type="dxa"/>
            <w:tcBorders/>
            <w:shd w:fill="FFFFFF" w:val="clear"/>
            <w:vAlign w:val="center"/>
          </w:tcPr>
          <w:p>
            <w:pPr>
              <w:pStyle w:val="TableContents"/>
              <w:bidi w:val="0"/>
              <w:spacing w:before="0" w:after="283"/>
              <w:jc w:val="left"/>
              <w:rPr/>
            </w:pPr>
            <w:r>
              <w:rPr/>
              <w:t> </w:t>
            </w:r>
          </w:p>
        </w:tc>
      </w:tr>
      <w:tr>
        <w:trPr/>
        <w:tc>
          <w:tcPr>
            <w:tcW w:w="493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84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8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position w:val="8"/>
                <w:sz w:val="19"/>
              </w:rPr>
              <w:t> </w:t>
            </w: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851" w:type="dxa"/>
            <w:tcBorders/>
            <w:shd w:fill="CCEEFF" w:val="clear"/>
            <w:vAlign w:val="center"/>
          </w:tcPr>
          <w:p>
            <w:pPr>
              <w:pStyle w:val="TableContents"/>
              <w:bidi w:val="0"/>
              <w:spacing w:before="0" w:after="283"/>
              <w:jc w:val="right"/>
              <w:rPr/>
            </w:pPr>
            <w:r>
              <w:rPr/>
              <w:t> </w:t>
            </w:r>
          </w:p>
        </w:tc>
        <w:tc>
          <w:tcPr>
            <w:tcW w:w="78" w:type="dxa"/>
            <w:tcBorders/>
            <w:shd w:fill="CCEEFF" w:val="clear"/>
            <w:vAlign w:val="center"/>
          </w:tcPr>
          <w:p>
            <w:pPr>
              <w:pStyle w:val="TableContents"/>
              <w:bidi w:val="0"/>
              <w:spacing w:before="0" w:after="283"/>
              <w:jc w:val="left"/>
              <w:rPr/>
            </w:pPr>
            <w:r>
              <w:rPr/>
              <w:t> </w:t>
            </w:r>
          </w:p>
        </w:tc>
      </w:tr>
      <w:tr>
        <w:trPr/>
        <w:tc>
          <w:tcPr>
            <w:tcW w:w="4934" w:type="dxa"/>
            <w:tcBorders/>
            <w:shd w:fill="FFFFFF" w:val="clear"/>
            <w:vAlign w:val="center"/>
          </w:tcPr>
          <w:p>
            <w:pPr>
              <w:pStyle w:val="TableContents"/>
              <w:bidi w:val="0"/>
              <w:spacing w:before="0" w:after="283"/>
              <w:jc w:val="left"/>
              <w:rPr>
                <w:sz w:val="20"/>
              </w:rPr>
            </w:pPr>
            <w:r>
              <w:rPr>
                <w:sz w:val="20"/>
              </w:rPr>
              <w:t>LONG-TERM DEBT</w:t>
            </w:r>
          </w:p>
        </w:tc>
        <w:tc>
          <w:tcPr>
            <w:tcW w:w="60" w:type="dxa"/>
            <w:tcBorders/>
            <w:shd w:fill="FFFFFF" w:val="clear"/>
            <w:vAlign w:val="center"/>
          </w:tcPr>
          <w:p>
            <w:pPr>
              <w:pStyle w:val="TableContents"/>
              <w:bidi w:val="0"/>
              <w:spacing w:before="0" w:after="283"/>
              <w:jc w:val="left"/>
              <w:rPr/>
            </w:pPr>
            <w:r>
              <w:rPr/>
              <w:t> </w:t>
            </w:r>
          </w:p>
        </w:tc>
        <w:tc>
          <w:tcPr>
            <w:tcW w:w="15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40"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94,414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11,464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8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2,780</w:t>
            </w:r>
          </w:p>
        </w:tc>
        <w:tc>
          <w:tcPr>
            <w:tcW w:w="8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sz w:val="20"/>
              </w:rPr>
            </w:pPr>
            <w:r>
              <w:rPr>
                <w:position w:val="7"/>
                <w:sz w:val="16"/>
                <w:sz w:val="20"/>
              </w:rPr>
              <w:t>1e</w:t>
            </w:r>
            <w:r>
              <w:rPr>
                <w:sz w:val="20"/>
              </w:rPr>
              <w:t> </w:t>
            </w:r>
          </w:p>
        </w:tc>
        <w:tc>
          <w:tcPr>
            <w:tcW w:w="60" w:type="dxa"/>
            <w:tcBorders/>
            <w:shd w:fill="FFFFFF" w:val="clear"/>
            <w:vAlign w:val="center"/>
          </w:tcPr>
          <w:p>
            <w:pPr>
              <w:pStyle w:val="TableContents"/>
              <w:bidi w:val="0"/>
              <w:spacing w:before="0" w:after="283"/>
              <w:jc w:val="left"/>
              <w:rPr/>
            </w:pPr>
            <w:r>
              <w:rPr/>
              <w:t> </w:t>
            </w:r>
          </w:p>
        </w:tc>
        <w:tc>
          <w:tcPr>
            <w:tcW w:w="15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51"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108,658</w:t>
            </w:r>
          </w:p>
        </w:tc>
        <w:tc>
          <w:tcPr>
            <w:tcW w:w="78" w:type="dxa"/>
            <w:tcBorders/>
            <w:shd w:fill="FFFFFF" w:val="clear"/>
            <w:vAlign w:val="center"/>
          </w:tcPr>
          <w:p>
            <w:pPr>
              <w:pStyle w:val="TableContents"/>
              <w:bidi w:val="0"/>
              <w:spacing w:before="0" w:after="283"/>
              <w:jc w:val="left"/>
              <w:rPr/>
            </w:pPr>
            <w:r>
              <w:rPr/>
              <w:t> </w:t>
            </w:r>
          </w:p>
        </w:tc>
      </w:tr>
      <w:tr>
        <w:trPr/>
        <w:tc>
          <w:tcPr>
            <w:tcW w:w="4934" w:type="dxa"/>
            <w:tcBorders/>
            <w:shd w:fill="CCEEFF" w:val="clear"/>
            <w:vAlign w:val="center"/>
          </w:tcPr>
          <w:p>
            <w:pPr>
              <w:pStyle w:val="TableContents"/>
              <w:bidi w:val="0"/>
              <w:spacing w:before="0" w:after="283"/>
              <w:jc w:val="left"/>
              <w:rPr>
                <w:sz w:val="20"/>
              </w:rPr>
            </w:pPr>
            <w:r>
              <w:rPr>
                <w:sz w:val="20"/>
              </w:rPr>
              <w:t>EQUIPMENT INSTALLMENT PLAN FINANCING FACILITY</w:t>
            </w:r>
          </w:p>
        </w:tc>
        <w:tc>
          <w:tcPr>
            <w:tcW w:w="60" w:type="dxa"/>
            <w:tcBorders/>
            <w:shd w:fill="CCEEFF" w:val="clear"/>
            <w:vAlign w:val="center"/>
          </w:tcPr>
          <w:p>
            <w:pPr>
              <w:pStyle w:val="TableContents"/>
              <w:bidi w:val="0"/>
              <w:spacing w:before="0" w:after="283"/>
              <w:jc w:val="left"/>
              <w:rPr/>
            </w:pPr>
            <w:r>
              <w:rPr/>
              <w:t> </w:t>
            </w:r>
          </w:p>
        </w:tc>
        <w:tc>
          <w:tcPr>
            <w:tcW w:w="15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40"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1,596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8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position w:val="8"/>
                <w:sz w:val="19"/>
              </w:rPr>
              <w:t> </w:t>
            </w: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51"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1,596</w:t>
            </w:r>
          </w:p>
        </w:tc>
        <w:tc>
          <w:tcPr>
            <w:tcW w:w="78" w:type="dxa"/>
            <w:tcBorders/>
            <w:shd w:fill="CCEEFF" w:val="clear"/>
            <w:vAlign w:val="center"/>
          </w:tcPr>
          <w:p>
            <w:pPr>
              <w:pStyle w:val="TableContents"/>
              <w:bidi w:val="0"/>
              <w:spacing w:before="0" w:after="283"/>
              <w:jc w:val="left"/>
              <w:rPr/>
            </w:pPr>
            <w:r>
              <w:rPr/>
              <w:t> </w:t>
            </w:r>
          </w:p>
        </w:tc>
      </w:tr>
      <w:tr>
        <w:trPr/>
        <w:tc>
          <w:tcPr>
            <w:tcW w:w="4934" w:type="dxa"/>
            <w:tcBorders/>
            <w:shd w:fill="FFFFFF" w:val="clear"/>
            <w:vAlign w:val="center"/>
          </w:tcPr>
          <w:p>
            <w:pPr>
              <w:pStyle w:val="TableContents"/>
              <w:bidi w:val="0"/>
              <w:spacing w:before="0" w:after="283"/>
              <w:jc w:val="left"/>
              <w:rPr>
                <w:sz w:val="20"/>
              </w:rPr>
            </w:pPr>
            <w:r>
              <w:rPr>
                <w:sz w:val="20"/>
              </w:rPr>
              <w:t>DEFERRED INCOME TAXES</w:t>
            </w:r>
          </w:p>
        </w:tc>
        <w:tc>
          <w:tcPr>
            <w:tcW w:w="60" w:type="dxa"/>
            <w:tcBorders/>
            <w:shd w:fill="FFFFFF" w:val="clear"/>
            <w:vAlign w:val="center"/>
          </w:tcPr>
          <w:p>
            <w:pPr>
              <w:pStyle w:val="TableContents"/>
              <w:bidi w:val="0"/>
              <w:spacing w:before="0" w:after="283"/>
              <w:jc w:val="left"/>
              <w:rPr/>
            </w:pPr>
            <w:r>
              <w:rPr/>
              <w:t> </w:t>
            </w:r>
          </w:p>
        </w:tc>
        <w:tc>
          <w:tcPr>
            <w:tcW w:w="15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40"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20,049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4,545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8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(4,896</w:t>
            </w:r>
          </w:p>
        </w:tc>
        <w:tc>
          <w:tcPr>
            <w:tcW w:w="80" w:type="dxa"/>
            <w:tcBorders/>
            <w:shd w:fill="FFFFFF" w:val="clear"/>
            <w:vAlign w:val="center"/>
          </w:tcPr>
          <w:p>
            <w:pPr>
              <w:pStyle w:val="TableContents"/>
              <w:bidi w:val="0"/>
              <w:spacing w:before="0" w:after="283"/>
              <w:jc w:val="left"/>
              <w:rPr>
                <w:sz w:val="20"/>
              </w:rPr>
            </w:pPr>
            <w:r>
              <w:rPr>
                <w:sz w:val="20"/>
              </w:rPr>
              <w:t>)</w:t>
            </w:r>
          </w:p>
        </w:tc>
        <w:tc>
          <w:tcPr>
            <w:tcW w:w="245" w:type="dxa"/>
            <w:tcBorders/>
            <w:shd w:fill="FFFFFF" w:val="clear"/>
            <w:vAlign w:val="center"/>
          </w:tcPr>
          <w:p>
            <w:pPr>
              <w:pStyle w:val="TableContents"/>
              <w:bidi w:val="0"/>
              <w:spacing w:before="0" w:after="283"/>
              <w:jc w:val="left"/>
              <w:rPr>
                <w:sz w:val="20"/>
              </w:rPr>
            </w:pPr>
            <w:r>
              <w:rPr>
                <w:position w:val="7"/>
                <w:sz w:val="16"/>
                <w:sz w:val="20"/>
              </w:rPr>
              <w:t>1f</w:t>
            </w:r>
            <w:r>
              <w:rPr>
                <w:sz w:val="20"/>
              </w:rPr>
              <w:t> </w:t>
            </w:r>
          </w:p>
        </w:tc>
        <w:tc>
          <w:tcPr>
            <w:tcW w:w="60" w:type="dxa"/>
            <w:tcBorders/>
            <w:shd w:fill="FFFFFF" w:val="clear"/>
            <w:vAlign w:val="center"/>
          </w:tcPr>
          <w:p>
            <w:pPr>
              <w:pStyle w:val="TableContents"/>
              <w:bidi w:val="0"/>
              <w:spacing w:before="0" w:after="283"/>
              <w:jc w:val="left"/>
              <w:rPr/>
            </w:pPr>
            <w:r>
              <w:rPr/>
              <w:t> </w:t>
            </w:r>
          </w:p>
        </w:tc>
        <w:tc>
          <w:tcPr>
            <w:tcW w:w="15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51"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19,698</w:t>
            </w:r>
          </w:p>
        </w:tc>
        <w:tc>
          <w:tcPr>
            <w:tcW w:w="78" w:type="dxa"/>
            <w:tcBorders/>
            <w:shd w:fill="FFFFFF" w:val="clear"/>
            <w:vAlign w:val="center"/>
          </w:tcPr>
          <w:p>
            <w:pPr>
              <w:pStyle w:val="TableContents"/>
              <w:bidi w:val="0"/>
              <w:spacing w:before="0" w:after="283"/>
              <w:jc w:val="left"/>
              <w:rPr/>
            </w:pPr>
            <w:r>
              <w:rPr/>
              <w:t> </w:t>
            </w:r>
          </w:p>
        </w:tc>
      </w:tr>
      <w:tr>
        <w:trPr/>
        <w:tc>
          <w:tcPr>
            <w:tcW w:w="4934" w:type="dxa"/>
            <w:tcBorders/>
            <w:shd w:fill="CCEEFF" w:val="clear"/>
            <w:vAlign w:val="center"/>
          </w:tcPr>
          <w:p>
            <w:pPr>
              <w:pStyle w:val="TableContents"/>
              <w:bidi w:val="0"/>
              <w:spacing w:before="0" w:after="283"/>
              <w:jc w:val="left"/>
              <w:rPr>
                <w:sz w:val="20"/>
              </w:rPr>
            </w:pPr>
            <w:r>
              <w:rPr>
                <w:sz w:val="20"/>
              </w:rPr>
              <w:t>OTHER LONG-TERM LIABILITIES</w:t>
            </w:r>
          </w:p>
        </w:tc>
        <w:tc>
          <w:tcPr>
            <w:tcW w:w="60" w:type="dxa"/>
            <w:tcBorders/>
            <w:shd w:fill="CCEEFF" w:val="clear"/>
            <w:vAlign w:val="center"/>
          </w:tcPr>
          <w:p>
            <w:pPr>
              <w:pStyle w:val="TableContents"/>
              <w:bidi w:val="0"/>
              <w:spacing w:before="0" w:after="283"/>
              <w:jc w:val="left"/>
              <w:rPr/>
            </w:pPr>
            <w:r>
              <w:rPr/>
              <w:t> </w:t>
            </w:r>
          </w:p>
        </w:tc>
        <w:tc>
          <w:tcPr>
            <w:tcW w:w="15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40"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5,140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454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8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position w:val="8"/>
                <w:sz w:val="19"/>
              </w:rPr>
              <w:t> </w:t>
            </w: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51"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5,594</w:t>
            </w:r>
          </w:p>
        </w:tc>
        <w:tc>
          <w:tcPr>
            <w:tcW w:w="78" w:type="dxa"/>
            <w:tcBorders/>
            <w:shd w:fill="CCEEFF" w:val="clear"/>
            <w:vAlign w:val="center"/>
          </w:tcPr>
          <w:p>
            <w:pPr>
              <w:pStyle w:val="TableContents"/>
              <w:bidi w:val="0"/>
              <w:spacing w:before="0" w:after="283"/>
              <w:jc w:val="left"/>
              <w:rPr/>
            </w:pPr>
            <w:r>
              <w:rPr/>
              <w:t> </w:t>
            </w:r>
          </w:p>
        </w:tc>
      </w:tr>
      <w:tr>
        <w:trPr/>
        <w:tc>
          <w:tcPr>
            <w:tcW w:w="493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84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88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position w:val="8"/>
                <w:sz w:val="19"/>
              </w:rPr>
              <w:t> </w:t>
            </w: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851" w:type="dxa"/>
            <w:tcBorders/>
            <w:shd w:fill="FFFFFF" w:val="clear"/>
            <w:vAlign w:val="center"/>
          </w:tcPr>
          <w:p>
            <w:pPr>
              <w:pStyle w:val="TableContents"/>
              <w:bidi w:val="0"/>
              <w:spacing w:before="0" w:after="283"/>
              <w:jc w:val="right"/>
              <w:rPr/>
            </w:pPr>
            <w:r>
              <w:rPr/>
              <w:t> </w:t>
            </w:r>
          </w:p>
        </w:tc>
        <w:tc>
          <w:tcPr>
            <w:tcW w:w="78" w:type="dxa"/>
            <w:tcBorders/>
            <w:shd w:fill="FFFFFF" w:val="clear"/>
            <w:vAlign w:val="center"/>
          </w:tcPr>
          <w:p>
            <w:pPr>
              <w:pStyle w:val="TableContents"/>
              <w:bidi w:val="0"/>
              <w:spacing w:before="0" w:after="283"/>
              <w:jc w:val="left"/>
              <w:rPr/>
            </w:pPr>
            <w:r>
              <w:rPr/>
              <w:t> </w:t>
            </w:r>
          </w:p>
        </w:tc>
      </w:tr>
      <w:tr>
        <w:trPr/>
        <w:tc>
          <w:tcPr>
            <w:tcW w:w="4934" w:type="dxa"/>
            <w:tcBorders/>
            <w:shd w:fill="CCEEFF" w:val="clear"/>
            <w:vAlign w:val="center"/>
          </w:tcPr>
          <w:p>
            <w:pPr>
              <w:pStyle w:val="TableContents"/>
              <w:bidi w:val="0"/>
              <w:spacing w:before="0" w:after="283"/>
              <w:jc w:val="left"/>
              <w:rPr>
                <w:sz w:val="20"/>
              </w:rPr>
            </w:pPr>
            <w:r>
              <w:rPr>
                <w:sz w:val="20"/>
              </w:rPr>
              <w:t>SHAREHOLDERS’ EQUITY:</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84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8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position w:val="8"/>
                <w:sz w:val="19"/>
              </w:rPr>
              <w:t> </w:t>
            </w: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851" w:type="dxa"/>
            <w:tcBorders/>
            <w:shd w:fill="CCEEFF" w:val="clear"/>
            <w:vAlign w:val="center"/>
          </w:tcPr>
          <w:p>
            <w:pPr>
              <w:pStyle w:val="TableContents"/>
              <w:bidi w:val="0"/>
              <w:spacing w:before="0" w:after="283"/>
              <w:jc w:val="right"/>
              <w:rPr/>
            </w:pPr>
            <w:r>
              <w:rPr/>
              <w:t> </w:t>
            </w:r>
          </w:p>
        </w:tc>
        <w:tc>
          <w:tcPr>
            <w:tcW w:w="78" w:type="dxa"/>
            <w:tcBorders/>
            <w:shd w:fill="CCEEFF" w:val="clear"/>
            <w:vAlign w:val="center"/>
          </w:tcPr>
          <w:p>
            <w:pPr>
              <w:pStyle w:val="TableContents"/>
              <w:bidi w:val="0"/>
              <w:spacing w:before="0" w:after="283"/>
              <w:jc w:val="left"/>
              <w:rPr/>
            </w:pPr>
            <w:r>
              <w:rPr/>
              <w:t> </w:t>
            </w:r>
          </w:p>
        </w:tc>
      </w:tr>
      <w:tr>
        <w:trPr/>
        <w:tc>
          <w:tcPr>
            <w:tcW w:w="4934" w:type="dxa"/>
            <w:tcBorders/>
            <w:shd w:fill="FFFFFF" w:val="clear"/>
            <w:vAlign w:val="center"/>
          </w:tcPr>
          <w:p>
            <w:pPr>
              <w:pStyle w:val="TableContents"/>
              <w:bidi w:val="0"/>
              <w:spacing w:before="0" w:after="283"/>
              <w:jc w:val="left"/>
              <w:rPr>
                <w:sz w:val="20"/>
              </w:rPr>
            </w:pPr>
            <w:r>
              <w:rPr>
                <w:sz w:val="20"/>
              </w:rPr>
              <w:t>Controlling interests</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840" w:type="dxa"/>
            <w:tcBorders/>
            <w:shd w:fill="FFFFFF" w:val="clear"/>
            <w:vAlign w:val="center"/>
          </w:tcPr>
          <w:p>
            <w:pPr>
              <w:pStyle w:val="TableContents"/>
              <w:bidi w:val="0"/>
              <w:spacing w:before="0" w:after="283"/>
              <w:jc w:val="right"/>
              <w:rPr>
                <w:sz w:val="20"/>
              </w:rPr>
            </w:pPr>
            <w:r>
              <w:rPr>
                <w:sz w:val="20"/>
              </w:rPr>
              <w:t>16,385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sz w:val="20"/>
              </w:rPr>
            </w:pPr>
            <w:r>
              <w:rPr>
                <w:sz w:val="20"/>
              </w:rPr>
              <w:t>11,479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885" w:type="dxa"/>
            <w:tcBorders/>
            <w:shd w:fill="FFFFFF" w:val="clear"/>
            <w:vAlign w:val="center"/>
          </w:tcPr>
          <w:p>
            <w:pPr>
              <w:pStyle w:val="TableContents"/>
              <w:bidi w:val="0"/>
              <w:spacing w:before="0" w:after="283"/>
              <w:jc w:val="right"/>
              <w:rPr>
                <w:sz w:val="20"/>
              </w:rPr>
            </w:pPr>
            <w:r>
              <w:rPr>
                <w:sz w:val="20"/>
              </w:rPr>
              <w:t>(14,456</w:t>
            </w:r>
          </w:p>
        </w:tc>
        <w:tc>
          <w:tcPr>
            <w:tcW w:w="80" w:type="dxa"/>
            <w:tcBorders/>
            <w:shd w:fill="FFFFFF" w:val="clear"/>
            <w:vAlign w:val="center"/>
          </w:tcPr>
          <w:p>
            <w:pPr>
              <w:pStyle w:val="TableContents"/>
              <w:bidi w:val="0"/>
              <w:spacing w:before="0" w:after="283"/>
              <w:jc w:val="left"/>
              <w:rPr>
                <w:sz w:val="20"/>
              </w:rPr>
            </w:pPr>
            <w:r>
              <w:rPr>
                <w:sz w:val="20"/>
              </w:rPr>
              <w:t>)</w:t>
            </w:r>
          </w:p>
        </w:tc>
        <w:tc>
          <w:tcPr>
            <w:tcW w:w="245" w:type="dxa"/>
            <w:tcBorders/>
            <w:shd w:fill="FFFFFF" w:val="clear"/>
            <w:vAlign w:val="center"/>
          </w:tcPr>
          <w:p>
            <w:pPr>
              <w:pStyle w:val="TableContents"/>
              <w:bidi w:val="0"/>
              <w:spacing w:before="0" w:after="283"/>
              <w:jc w:val="left"/>
              <w:rPr>
                <w:sz w:val="20"/>
              </w:rPr>
            </w:pPr>
            <w:r>
              <w:rPr>
                <w:position w:val="7"/>
                <w:sz w:val="16"/>
                <w:sz w:val="20"/>
              </w:rPr>
              <w:t>1g</w:t>
            </w:r>
            <w:r>
              <w:rPr>
                <w:sz w:val="20"/>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851" w:type="dxa"/>
            <w:tcBorders/>
            <w:shd w:fill="FFFFFF" w:val="clear"/>
            <w:vAlign w:val="center"/>
          </w:tcPr>
          <w:p>
            <w:pPr>
              <w:pStyle w:val="TableContents"/>
              <w:bidi w:val="0"/>
              <w:spacing w:before="0" w:after="283"/>
              <w:jc w:val="right"/>
              <w:rPr>
                <w:sz w:val="20"/>
              </w:rPr>
            </w:pPr>
            <w:r>
              <w:rPr>
                <w:sz w:val="20"/>
              </w:rPr>
              <w:t>13,408</w:t>
            </w:r>
          </w:p>
        </w:tc>
        <w:tc>
          <w:tcPr>
            <w:tcW w:w="78" w:type="dxa"/>
            <w:tcBorders/>
            <w:shd w:fill="FFFFFF" w:val="clear"/>
            <w:vAlign w:val="center"/>
          </w:tcPr>
          <w:p>
            <w:pPr>
              <w:pStyle w:val="TableContents"/>
              <w:bidi w:val="0"/>
              <w:spacing w:before="0" w:after="283"/>
              <w:jc w:val="left"/>
              <w:rPr/>
            </w:pPr>
            <w:r>
              <w:rPr/>
              <w:t> </w:t>
            </w:r>
          </w:p>
        </w:tc>
      </w:tr>
      <w:tr>
        <w:trPr/>
        <w:tc>
          <w:tcPr>
            <w:tcW w:w="4934" w:type="dxa"/>
            <w:tcBorders/>
            <w:shd w:fill="CCEEFF" w:val="clear"/>
            <w:vAlign w:val="center"/>
          </w:tcPr>
          <w:p>
            <w:pPr>
              <w:pStyle w:val="TableContents"/>
              <w:bidi w:val="0"/>
              <w:spacing w:before="0" w:after="283"/>
              <w:jc w:val="left"/>
              <w:rPr>
                <w:sz w:val="20"/>
              </w:rPr>
            </w:pPr>
            <w:r>
              <w:rPr>
                <w:sz w:val="20"/>
              </w:rPr>
              <w:t>Noncontrolling interests</w:t>
            </w:r>
          </w:p>
        </w:tc>
        <w:tc>
          <w:tcPr>
            <w:tcW w:w="60" w:type="dxa"/>
            <w:tcBorders/>
            <w:shd w:fill="CCEEFF" w:val="clear"/>
            <w:vAlign w:val="center"/>
          </w:tcPr>
          <w:p>
            <w:pPr>
              <w:pStyle w:val="TableContents"/>
              <w:bidi w:val="0"/>
              <w:spacing w:before="0" w:after="283"/>
              <w:jc w:val="left"/>
              <w:rPr/>
            </w:pPr>
            <w:r>
              <w:rPr/>
              <w:t> </w:t>
            </w:r>
          </w:p>
        </w:tc>
        <w:tc>
          <w:tcPr>
            <w:tcW w:w="15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40"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4,685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8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13,934</w:t>
            </w:r>
          </w:p>
        </w:tc>
        <w:tc>
          <w:tcPr>
            <w:tcW w:w="8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sz w:val="20"/>
              </w:rPr>
            </w:pPr>
            <w:r>
              <w:rPr>
                <w:position w:val="7"/>
                <w:sz w:val="16"/>
                <w:sz w:val="20"/>
              </w:rPr>
              <w:t>1g</w:t>
            </w:r>
            <w:r>
              <w:rPr>
                <w:sz w:val="20"/>
              </w:rPr>
              <w:t> </w:t>
            </w:r>
          </w:p>
        </w:tc>
        <w:tc>
          <w:tcPr>
            <w:tcW w:w="60" w:type="dxa"/>
            <w:tcBorders/>
            <w:shd w:fill="CCEEFF" w:val="clear"/>
            <w:vAlign w:val="center"/>
          </w:tcPr>
          <w:p>
            <w:pPr>
              <w:pStyle w:val="TableContents"/>
              <w:bidi w:val="0"/>
              <w:spacing w:before="0" w:after="283"/>
              <w:jc w:val="left"/>
              <w:rPr/>
            </w:pPr>
            <w:r>
              <w:rPr/>
              <w:t> </w:t>
            </w:r>
          </w:p>
        </w:tc>
        <w:tc>
          <w:tcPr>
            <w:tcW w:w="15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51"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18,619</w:t>
            </w:r>
          </w:p>
        </w:tc>
        <w:tc>
          <w:tcPr>
            <w:tcW w:w="78" w:type="dxa"/>
            <w:tcBorders/>
            <w:shd w:fill="CCEEFF" w:val="clear"/>
            <w:vAlign w:val="center"/>
          </w:tcPr>
          <w:p>
            <w:pPr>
              <w:pStyle w:val="TableContents"/>
              <w:bidi w:val="0"/>
              <w:spacing w:before="0" w:after="283"/>
              <w:jc w:val="left"/>
              <w:rPr/>
            </w:pPr>
            <w:r>
              <w:rPr/>
              <w:t> </w:t>
            </w:r>
          </w:p>
        </w:tc>
      </w:tr>
      <w:tr>
        <w:trPr/>
        <w:tc>
          <w:tcPr>
            <w:tcW w:w="4934" w:type="dxa"/>
            <w:tcBorders/>
            <w:shd w:fill="FFFFFF" w:val="clear"/>
            <w:vAlign w:val="center"/>
          </w:tcPr>
          <w:p>
            <w:pPr>
              <w:pStyle w:val="TableContents"/>
              <w:bidi w:val="0"/>
              <w:spacing w:before="0" w:after="283"/>
              <w:jc w:val="left"/>
              <w:rPr>
                <w:sz w:val="20"/>
              </w:rPr>
            </w:pPr>
            <w:r>
              <w:rPr>
                <w:sz w:val="20"/>
              </w:rPr>
              <w:t>Total shareholders’ equity</w:t>
            </w:r>
          </w:p>
        </w:tc>
        <w:tc>
          <w:tcPr>
            <w:tcW w:w="60" w:type="dxa"/>
            <w:tcBorders/>
            <w:shd w:fill="FFFFFF" w:val="clear"/>
            <w:vAlign w:val="center"/>
          </w:tcPr>
          <w:p>
            <w:pPr>
              <w:pStyle w:val="TableContents"/>
              <w:bidi w:val="0"/>
              <w:spacing w:before="0" w:after="283"/>
              <w:jc w:val="left"/>
              <w:rPr/>
            </w:pPr>
            <w:r>
              <w:rPr/>
              <w:t> </w:t>
            </w:r>
          </w:p>
        </w:tc>
        <w:tc>
          <w:tcPr>
            <w:tcW w:w="15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40"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21,070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11,479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8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(522</w:t>
            </w:r>
          </w:p>
        </w:tc>
        <w:tc>
          <w:tcPr>
            <w:tcW w:w="80" w:type="dxa"/>
            <w:tcBorders/>
            <w:shd w:fill="FFFFFF" w:val="clear"/>
            <w:vAlign w:val="center"/>
          </w:tcPr>
          <w:p>
            <w:pPr>
              <w:pStyle w:val="TableContents"/>
              <w:bidi w:val="0"/>
              <w:spacing w:before="0" w:after="283"/>
              <w:jc w:val="left"/>
              <w:rPr>
                <w:sz w:val="20"/>
              </w:rPr>
            </w:pPr>
            <w:r>
              <w:rPr>
                <w:sz w:val="20"/>
              </w:rPr>
              <w:t>)</w:t>
            </w:r>
          </w:p>
        </w:tc>
        <w:tc>
          <w:tcPr>
            <w:tcW w:w="245" w:type="dxa"/>
            <w:tcBorders/>
            <w:shd w:fill="FFFFFF" w:val="clear"/>
            <w:vAlign w:val="center"/>
          </w:tcPr>
          <w:p>
            <w:pPr>
              <w:pStyle w:val="TableContents"/>
              <w:bidi w:val="0"/>
              <w:spacing w:before="0" w:after="283"/>
              <w:jc w:val="left"/>
              <w:rPr/>
            </w:pPr>
            <w:r>
              <w:rPr>
                <w:position w:val="8"/>
                <w:sz w:val="19"/>
              </w:rPr>
              <w:t> </w:t>
            </w: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51"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32,027</w:t>
            </w:r>
          </w:p>
        </w:tc>
        <w:tc>
          <w:tcPr>
            <w:tcW w:w="78" w:type="dxa"/>
            <w:tcBorders/>
            <w:shd w:fill="FFFFFF" w:val="clear"/>
            <w:vAlign w:val="center"/>
          </w:tcPr>
          <w:p>
            <w:pPr>
              <w:pStyle w:val="TableContents"/>
              <w:bidi w:val="0"/>
              <w:spacing w:before="0" w:after="283"/>
              <w:jc w:val="left"/>
              <w:rPr/>
            </w:pPr>
            <w:r>
              <w:rPr/>
              <w:t> </w:t>
            </w:r>
          </w:p>
        </w:tc>
      </w:tr>
      <w:tr>
        <w:trPr/>
        <w:tc>
          <w:tcPr>
            <w:tcW w:w="493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84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8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position w:val="8"/>
                <w:sz w:val="19"/>
              </w:rPr>
              <w:t> </w:t>
            </w: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851" w:type="dxa"/>
            <w:tcBorders/>
            <w:shd w:fill="CCEEFF" w:val="clear"/>
            <w:vAlign w:val="center"/>
          </w:tcPr>
          <w:p>
            <w:pPr>
              <w:pStyle w:val="TableContents"/>
              <w:bidi w:val="0"/>
              <w:spacing w:before="0" w:after="283"/>
              <w:jc w:val="right"/>
              <w:rPr/>
            </w:pPr>
            <w:r>
              <w:rPr/>
              <w:t> </w:t>
            </w:r>
          </w:p>
        </w:tc>
        <w:tc>
          <w:tcPr>
            <w:tcW w:w="78" w:type="dxa"/>
            <w:tcBorders/>
            <w:shd w:fill="CCEEFF" w:val="clear"/>
            <w:vAlign w:val="center"/>
          </w:tcPr>
          <w:p>
            <w:pPr>
              <w:pStyle w:val="TableContents"/>
              <w:bidi w:val="0"/>
              <w:spacing w:before="0" w:after="283"/>
              <w:jc w:val="left"/>
              <w:rPr/>
            </w:pPr>
            <w:r>
              <w:rPr/>
              <w:t> </w:t>
            </w:r>
          </w:p>
        </w:tc>
      </w:tr>
      <w:tr>
        <w:trPr/>
        <w:tc>
          <w:tcPr>
            <w:tcW w:w="4934" w:type="dxa"/>
            <w:tcBorders/>
            <w:shd w:fill="FFFFFF" w:val="clear"/>
            <w:vAlign w:val="center"/>
          </w:tcPr>
          <w:p>
            <w:pPr>
              <w:pStyle w:val="TableContents"/>
              <w:bidi w:val="0"/>
              <w:spacing w:before="0" w:after="283"/>
              <w:jc w:val="left"/>
              <w:rPr>
                <w:sz w:val="20"/>
              </w:rPr>
            </w:pPr>
            <w:r>
              <w:rPr>
                <w:sz w:val="20"/>
              </w:rPr>
              <w:t>Total liabilities and shareholders’ equity</w:t>
            </w:r>
          </w:p>
        </w:tc>
        <w:tc>
          <w:tcPr>
            <w:tcW w:w="60" w:type="dxa"/>
            <w:tcBorders/>
            <w:shd w:fill="FFFFFF" w:val="clear"/>
            <w:vAlign w:val="center"/>
          </w:tcPr>
          <w:p>
            <w:pPr>
              <w:pStyle w:val="TableContents"/>
              <w:bidi w:val="0"/>
              <w:spacing w:before="0" w:after="283"/>
              <w:jc w:val="left"/>
              <w:rPr/>
            </w:pPr>
            <w:r>
              <w:rPr/>
              <w:t> </w:t>
            </w:r>
          </w:p>
        </w:tc>
        <w:tc>
          <w:tcPr>
            <w:tcW w:w="150"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840"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154,644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5"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1205"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30,788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885"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(2,638</w:t>
            </w:r>
          </w:p>
        </w:tc>
        <w:tc>
          <w:tcPr>
            <w:tcW w:w="80" w:type="dxa"/>
            <w:tcBorders/>
            <w:shd w:fill="FFFFFF" w:val="clear"/>
            <w:vAlign w:val="center"/>
          </w:tcPr>
          <w:p>
            <w:pPr>
              <w:pStyle w:val="TableContents"/>
              <w:bidi w:val="0"/>
              <w:spacing w:before="0" w:after="283"/>
              <w:jc w:val="left"/>
              <w:rPr>
                <w:sz w:val="20"/>
              </w:rPr>
            </w:pPr>
            <w:r>
              <w:rPr>
                <w:sz w:val="20"/>
              </w:rPr>
              <w:t>)</w:t>
            </w:r>
          </w:p>
        </w:tc>
        <w:tc>
          <w:tcPr>
            <w:tcW w:w="245" w:type="dxa"/>
            <w:tcBorders/>
            <w:shd w:fill="FFFFFF" w:val="clear"/>
            <w:vAlign w:val="center"/>
          </w:tcPr>
          <w:p>
            <w:pPr>
              <w:pStyle w:val="TableContents"/>
              <w:bidi w:val="0"/>
              <w:spacing w:before="0" w:after="283"/>
              <w:jc w:val="left"/>
              <w:rPr/>
            </w:pPr>
            <w:r>
              <w:rPr>
                <w:position w:val="8"/>
                <w:sz w:val="19"/>
              </w:rPr>
              <w:t> </w:t>
            </w: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851"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182,794</w:t>
            </w:r>
          </w:p>
        </w:tc>
        <w:tc>
          <w:tcPr>
            <w:tcW w:w="78"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 to Unaudited Pro Forma Condensed Combined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PRO FORMA CONDENSED COMBINED STATEMENT OF OPERATIONS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 MARCH 31, 2026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(dollars and weighted average shares outstanding in millions, except per share amounts)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910"/>
        <w:gridCol w:w="60"/>
        <w:gridCol w:w="170"/>
        <w:gridCol w:w="809"/>
        <w:gridCol w:w="80"/>
        <w:gridCol w:w="60"/>
        <w:gridCol w:w="299"/>
        <w:gridCol w:w="1161"/>
        <w:gridCol w:w="80"/>
        <w:gridCol w:w="60"/>
        <w:gridCol w:w="253"/>
        <w:gridCol w:w="802"/>
        <w:gridCol w:w="80"/>
        <w:gridCol w:w="245"/>
        <w:gridCol w:w="60"/>
        <w:gridCol w:w="170"/>
        <w:gridCol w:w="810"/>
        <w:gridCol w:w="96"/>
      </w:tblGrid>
      <w:tr>
        <w:trPr/>
        <w:tc>
          <w:tcPr>
            <w:tcW w:w="49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7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Charter</w:t>
              <w:br/>
              <w:t>(Historical)</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4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Cox</w:t>
              <w:br/>
              <w:t>Communications</w:t>
              <w:br/>
              <w:t>(Historical)</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5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 Forma</w:t>
              <w:br/>
              <w:t>Adjustments</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pPr>
            <w:r>
              <w:rPr>
                <w:position w:val="8"/>
                <w:sz w:val="19"/>
              </w:rPr>
              <w:t> </w:t>
            </w: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8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Pro Forma </w:t>
              <w:br/>
              <w:t>Combined</w:t>
            </w:r>
          </w:p>
        </w:tc>
        <w:tc>
          <w:tcPr>
            <w:tcW w:w="96"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9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13,597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99"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6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3,059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3"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2a</w:t>
            </w:r>
            <w:r>
              <w:rPr>
                <w:rFonts w:ascii="Times New Roman;Times;Serif" w:hAnsi="Times New Roman;Times;Serif"/>
                <w:b w:val="false"/>
                <w:i w:val="false"/>
                <w:caps w:val="false"/>
                <w:smallCaps w:val="false"/>
                <w:sz w:val="20"/>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1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16,669</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9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809"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9" w:type="dxa"/>
            <w:tcBorders/>
            <w:shd w:fill="FFFFFF" w:val="clear"/>
            <w:vAlign w:val="center"/>
          </w:tcPr>
          <w:p>
            <w:pPr>
              <w:pStyle w:val="TableContents"/>
              <w:bidi w:val="0"/>
              <w:spacing w:before="0" w:after="283"/>
              <w:jc w:val="left"/>
              <w:rPr/>
            </w:pPr>
            <w:r>
              <w:rPr/>
              <w:t> </w:t>
            </w:r>
          </w:p>
        </w:tc>
        <w:tc>
          <w:tcPr>
            <w:tcW w:w="1161"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3" w:type="dxa"/>
            <w:tcBorders/>
            <w:shd w:fill="FFFFFF" w:val="clear"/>
            <w:vAlign w:val="center"/>
          </w:tcPr>
          <w:p>
            <w:pPr>
              <w:pStyle w:val="TableContents"/>
              <w:bidi w:val="0"/>
              <w:spacing w:before="0" w:after="283"/>
              <w:jc w:val="left"/>
              <w:rPr/>
            </w:pPr>
            <w:r>
              <w:rPr/>
              <w:t> </w:t>
            </w:r>
          </w:p>
        </w:tc>
        <w:tc>
          <w:tcPr>
            <w:tcW w:w="802"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position w:val="8"/>
                <w:sz w:val="19"/>
              </w:rPr>
              <w:t> </w:t>
            </w: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810" w:type="dxa"/>
            <w:tcBorders/>
            <w:shd w:fill="FFFFFF" w:val="clear"/>
            <w:vAlign w:val="center"/>
          </w:tcPr>
          <w:p>
            <w:pPr>
              <w:pStyle w:val="TableContents"/>
              <w:bidi w:val="0"/>
              <w:spacing w:before="0" w:after="283"/>
              <w:jc w:val="right"/>
              <w:rPr/>
            </w:pPr>
            <w:r>
              <w:rPr/>
              <w:t> </w:t>
            </w:r>
          </w:p>
        </w:tc>
        <w:tc>
          <w:tcPr>
            <w:tcW w:w="96" w:type="dxa"/>
            <w:tcBorders/>
            <w:shd w:fill="FFFFFF" w:val="clear"/>
            <w:vAlign w:val="center"/>
          </w:tcPr>
          <w:p>
            <w:pPr>
              <w:pStyle w:val="TableContents"/>
              <w:bidi w:val="0"/>
              <w:spacing w:before="0" w:after="283"/>
              <w:jc w:val="left"/>
              <w:rPr/>
            </w:pPr>
            <w:r>
              <w:rPr/>
              <w:t> </w:t>
            </w:r>
          </w:p>
        </w:tc>
      </w:tr>
      <w:tr>
        <w:trPr/>
        <w:tc>
          <w:tcPr>
            <w:tcW w:w="49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COSTS AND EXPENSES:</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09"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9" w:type="dxa"/>
            <w:tcBorders/>
            <w:shd w:fill="CCEEFF" w:val="clear"/>
            <w:vAlign w:val="center"/>
          </w:tcPr>
          <w:p>
            <w:pPr>
              <w:pStyle w:val="TableContents"/>
              <w:bidi w:val="0"/>
              <w:spacing w:before="0" w:after="283"/>
              <w:jc w:val="left"/>
              <w:rPr/>
            </w:pPr>
            <w:r>
              <w:rPr/>
              <w:t> </w:t>
            </w:r>
          </w:p>
        </w:tc>
        <w:tc>
          <w:tcPr>
            <w:tcW w:w="1161"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jc w:val="left"/>
              <w:rPr/>
            </w:pPr>
            <w:r>
              <w:rPr/>
              <w:t> </w:t>
            </w:r>
          </w:p>
        </w:tc>
        <w:tc>
          <w:tcPr>
            <w:tcW w:w="802"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position w:val="8"/>
                <w:sz w:val="19"/>
              </w:rPr>
              <w:t> </w:t>
            </w: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10" w:type="dxa"/>
            <w:tcBorders/>
            <w:shd w:fill="CCEEFF" w:val="clear"/>
            <w:vAlign w:val="center"/>
          </w:tcPr>
          <w:p>
            <w:pPr>
              <w:pStyle w:val="TableContents"/>
              <w:bidi w:val="0"/>
              <w:spacing w:before="0" w:after="283"/>
              <w:jc w:val="right"/>
              <w:rPr/>
            </w:pPr>
            <w:r>
              <w:rPr/>
              <w:t> </w:t>
            </w:r>
          </w:p>
        </w:tc>
        <w:tc>
          <w:tcPr>
            <w:tcW w:w="96" w:type="dxa"/>
            <w:tcBorders/>
            <w:shd w:fill="CCEEFF" w:val="clear"/>
            <w:vAlign w:val="center"/>
          </w:tcPr>
          <w:p>
            <w:pPr>
              <w:pStyle w:val="TableContents"/>
              <w:bidi w:val="0"/>
              <w:spacing w:before="0" w:after="283"/>
              <w:ind w:left="0" w:right="0" w:hanging="180"/>
              <w:jc w:val="left"/>
              <w:rPr/>
            </w:pPr>
            <w:r>
              <w:rPr/>
              <w:t> </w:t>
            </w:r>
          </w:p>
        </w:tc>
      </w:tr>
      <w:tr>
        <w:trPr/>
        <w:tc>
          <w:tcPr>
            <w:tcW w:w="49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costs and expenses (exclusive of items shown separately below)</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8,163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6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1,740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2b</w:t>
            </w:r>
            <w:r>
              <w:rPr>
                <w:rFonts w:ascii="Times New Roman;Times;Serif" w:hAnsi="Times New Roman;Times;Serif"/>
                <w:b w:val="false"/>
                <w:i w:val="false"/>
                <w:caps w:val="false"/>
                <w:smallCaps w:val="false"/>
                <w:sz w:val="20"/>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9,851</w:t>
            </w:r>
          </w:p>
        </w:tc>
        <w:tc>
          <w:tcPr>
            <w:tcW w:w="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9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and amortization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2,211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6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2c</w:t>
            </w:r>
            <w:r>
              <w:rPr>
                <w:rFonts w:ascii="Times New Roman;Times;Serif" w:hAnsi="Times New Roman;Times;Serif"/>
                <w:b w:val="false"/>
                <w:i w:val="false"/>
                <w:caps w:val="false"/>
                <w:smallCaps w:val="false"/>
                <w:sz w:val="20"/>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2,863</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9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operating expenses,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0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9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6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0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2d</w:t>
            </w:r>
            <w:r>
              <w:rPr>
                <w:rFonts w:ascii="Times New Roman;Times;Serif" w:hAnsi="Times New Roman;Times;Serif"/>
                <w:b w:val="false"/>
                <w:i w:val="false"/>
                <w:caps w:val="false"/>
                <w:smallCaps w:val="false"/>
                <w:sz w:val="20"/>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1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w:t>
            </w:r>
          </w:p>
        </w:tc>
        <w:tc>
          <w:tcPr>
            <w:tcW w:w="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9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0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10,389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9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6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2,324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0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CCEEFF" w:val="clear"/>
            <w:vAlign w:val="center"/>
          </w:tcPr>
          <w:p>
            <w:pPr>
              <w:pStyle w:val="TableContents"/>
              <w:bidi w:val="0"/>
              <w:spacing w:before="0" w:after="283"/>
              <w:jc w:val="left"/>
              <w:rPr/>
            </w:pPr>
            <w:r>
              <w:rPr>
                <w:position w:val="8"/>
                <w:sz w:val="19"/>
              </w:rPr>
              <w:t> </w:t>
            </w: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1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12,777</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9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from operations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0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3,208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9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6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0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45" w:type="dxa"/>
            <w:tcBorders/>
            <w:shd w:fill="FFFFFF" w:val="clear"/>
            <w:vAlign w:val="center"/>
          </w:tcPr>
          <w:p>
            <w:pPr>
              <w:pStyle w:val="TableContents"/>
              <w:bidi w:val="0"/>
              <w:spacing w:before="0" w:after="283"/>
              <w:jc w:val="left"/>
              <w:rPr/>
            </w:pPr>
            <w:r>
              <w:rPr>
                <w:position w:val="8"/>
                <w:sz w:val="19"/>
              </w:rPr>
              <w:t> </w:t>
            </w: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1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3,892</w:t>
            </w:r>
          </w:p>
        </w:tc>
        <w:tc>
          <w:tcPr>
            <w:tcW w:w="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9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09"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9" w:type="dxa"/>
            <w:tcBorders/>
            <w:shd w:fill="CCEEFF" w:val="clear"/>
            <w:vAlign w:val="center"/>
          </w:tcPr>
          <w:p>
            <w:pPr>
              <w:pStyle w:val="TableContents"/>
              <w:bidi w:val="0"/>
              <w:spacing w:before="0" w:after="283"/>
              <w:jc w:val="left"/>
              <w:rPr/>
            </w:pPr>
            <w:r>
              <w:rPr/>
              <w:t> </w:t>
            </w:r>
          </w:p>
        </w:tc>
        <w:tc>
          <w:tcPr>
            <w:tcW w:w="1161"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jc w:val="left"/>
              <w:rPr/>
            </w:pPr>
            <w:r>
              <w:rPr/>
              <w:t> </w:t>
            </w:r>
          </w:p>
        </w:tc>
        <w:tc>
          <w:tcPr>
            <w:tcW w:w="802"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position w:val="8"/>
                <w:sz w:val="19"/>
              </w:rPr>
              <w:t> </w:t>
            </w: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10" w:type="dxa"/>
            <w:tcBorders/>
            <w:shd w:fill="CCEEFF" w:val="clear"/>
            <w:vAlign w:val="center"/>
          </w:tcPr>
          <w:p>
            <w:pPr>
              <w:pStyle w:val="TableContents"/>
              <w:bidi w:val="0"/>
              <w:spacing w:before="0" w:after="283"/>
              <w:jc w:val="right"/>
              <w:rPr/>
            </w:pPr>
            <w:r>
              <w:rPr/>
              <w:t> </w:t>
            </w:r>
          </w:p>
        </w:tc>
        <w:tc>
          <w:tcPr>
            <w:tcW w:w="96" w:type="dxa"/>
            <w:tcBorders/>
            <w:shd w:fill="CCEEFF" w:val="clear"/>
            <w:vAlign w:val="center"/>
          </w:tcPr>
          <w:p>
            <w:pPr>
              <w:pStyle w:val="TableContents"/>
              <w:bidi w:val="0"/>
              <w:spacing w:before="0" w:after="283"/>
              <w:jc w:val="left"/>
              <w:rPr/>
            </w:pPr>
            <w:r>
              <w:rPr/>
              <w:t> </w:t>
            </w:r>
          </w:p>
        </w:tc>
      </w:tr>
      <w:tr>
        <w:trPr/>
        <w:tc>
          <w:tcPr>
            <w:tcW w:w="49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INCOME (EXPENSES):</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809"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9" w:type="dxa"/>
            <w:tcBorders/>
            <w:shd w:fill="FFFFFF" w:val="clear"/>
            <w:vAlign w:val="center"/>
          </w:tcPr>
          <w:p>
            <w:pPr>
              <w:pStyle w:val="TableContents"/>
              <w:bidi w:val="0"/>
              <w:spacing w:before="0" w:after="283"/>
              <w:jc w:val="left"/>
              <w:rPr/>
            </w:pPr>
            <w:r>
              <w:rPr/>
              <w:t> </w:t>
            </w:r>
          </w:p>
        </w:tc>
        <w:tc>
          <w:tcPr>
            <w:tcW w:w="1161"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3" w:type="dxa"/>
            <w:tcBorders/>
            <w:shd w:fill="FFFFFF" w:val="clear"/>
            <w:vAlign w:val="center"/>
          </w:tcPr>
          <w:p>
            <w:pPr>
              <w:pStyle w:val="TableContents"/>
              <w:bidi w:val="0"/>
              <w:spacing w:before="0" w:after="283"/>
              <w:jc w:val="left"/>
              <w:rPr/>
            </w:pPr>
            <w:r>
              <w:rPr/>
              <w:t> </w:t>
            </w:r>
          </w:p>
        </w:tc>
        <w:tc>
          <w:tcPr>
            <w:tcW w:w="802"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position w:val="8"/>
                <w:sz w:val="19"/>
              </w:rPr>
              <w:t> </w:t>
            </w: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810" w:type="dxa"/>
            <w:tcBorders/>
            <w:shd w:fill="FFFFFF" w:val="clear"/>
            <w:vAlign w:val="center"/>
          </w:tcPr>
          <w:p>
            <w:pPr>
              <w:pStyle w:val="TableContents"/>
              <w:bidi w:val="0"/>
              <w:spacing w:before="0" w:after="283"/>
              <w:jc w:val="right"/>
              <w:rPr/>
            </w:pPr>
            <w:r>
              <w:rPr/>
              <w:t> </w:t>
            </w:r>
          </w:p>
        </w:tc>
        <w:tc>
          <w:tcPr>
            <w:tcW w:w="96" w:type="dxa"/>
            <w:tcBorders/>
            <w:shd w:fill="FFFFFF" w:val="clear"/>
            <w:vAlign w:val="center"/>
          </w:tcPr>
          <w:p>
            <w:pPr>
              <w:pStyle w:val="TableContents"/>
              <w:bidi w:val="0"/>
              <w:spacing w:before="0" w:after="283"/>
              <w:jc w:val="left"/>
              <w:rPr/>
            </w:pPr>
            <w:r>
              <w:rPr/>
              <w:t> </w:t>
            </w:r>
          </w:p>
        </w:tc>
      </w:tr>
      <w:tr>
        <w:trPr/>
        <w:tc>
          <w:tcPr>
            <w:tcW w:w="49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6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(137</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2e</w:t>
            </w:r>
            <w:r>
              <w:rPr>
                <w:rFonts w:ascii="Times New Roman;Times;Serif" w:hAnsi="Times New Roman;Times;Serif"/>
                <w:b w:val="false"/>
                <w:i w:val="false"/>
                <w:caps w:val="false"/>
                <w:smallCaps w:val="false"/>
                <w:sz w:val="20"/>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(1,504</w:t>
            </w:r>
          </w:p>
        </w:tc>
        <w:tc>
          <w:tcPr>
            <w:tcW w:w="9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9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expenses,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0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9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6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0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2f</w:t>
            </w:r>
            <w:r>
              <w:rPr>
                <w:rFonts w:ascii="Times New Roman;Times;Serif" w:hAnsi="Times New Roman;Times;Serif"/>
                <w:b w:val="false"/>
                <w:i w:val="false"/>
                <w:caps w:val="false"/>
                <w:smallCaps w:val="false"/>
                <w:sz w:val="20"/>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1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w:t>
            </w:r>
          </w:p>
        </w:tc>
        <w:tc>
          <w:tcPr>
            <w:tcW w:w="9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9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0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(1,380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9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6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0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45" w:type="dxa"/>
            <w:tcBorders/>
            <w:shd w:fill="CCEEFF" w:val="clear"/>
            <w:vAlign w:val="center"/>
          </w:tcPr>
          <w:p>
            <w:pPr>
              <w:pStyle w:val="TableContents"/>
              <w:bidi w:val="0"/>
              <w:spacing w:before="0" w:after="283"/>
              <w:jc w:val="left"/>
              <w:rPr/>
            </w:pPr>
            <w:r>
              <w:rPr>
                <w:position w:val="8"/>
                <w:sz w:val="19"/>
              </w:rPr>
              <w:t> </w:t>
            </w: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1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(1,629</w:t>
            </w:r>
          </w:p>
        </w:tc>
        <w:tc>
          <w:tcPr>
            <w:tcW w:w="9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9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809"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9" w:type="dxa"/>
            <w:tcBorders/>
            <w:shd w:fill="FFFFFF" w:val="clear"/>
            <w:vAlign w:val="center"/>
          </w:tcPr>
          <w:p>
            <w:pPr>
              <w:pStyle w:val="TableContents"/>
              <w:bidi w:val="0"/>
              <w:spacing w:before="0" w:after="283"/>
              <w:jc w:val="left"/>
              <w:rPr/>
            </w:pPr>
            <w:r>
              <w:rPr/>
              <w:t> </w:t>
            </w:r>
          </w:p>
        </w:tc>
        <w:tc>
          <w:tcPr>
            <w:tcW w:w="1161"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3" w:type="dxa"/>
            <w:tcBorders/>
            <w:shd w:fill="FFFFFF" w:val="clear"/>
            <w:vAlign w:val="center"/>
          </w:tcPr>
          <w:p>
            <w:pPr>
              <w:pStyle w:val="TableContents"/>
              <w:bidi w:val="0"/>
              <w:spacing w:before="0" w:after="283"/>
              <w:jc w:val="left"/>
              <w:rPr/>
            </w:pPr>
            <w:r>
              <w:rPr/>
              <w:t> </w:t>
            </w:r>
          </w:p>
        </w:tc>
        <w:tc>
          <w:tcPr>
            <w:tcW w:w="802"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position w:val="8"/>
                <w:sz w:val="19"/>
              </w:rPr>
              <w:t> </w:t>
            </w: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810" w:type="dxa"/>
            <w:tcBorders/>
            <w:shd w:fill="FFFFFF" w:val="clear"/>
            <w:vAlign w:val="center"/>
          </w:tcPr>
          <w:p>
            <w:pPr>
              <w:pStyle w:val="TableContents"/>
              <w:bidi w:val="0"/>
              <w:spacing w:before="0" w:after="283"/>
              <w:jc w:val="right"/>
              <w:rPr/>
            </w:pPr>
            <w:r>
              <w:rPr/>
              <w:t> </w:t>
            </w:r>
          </w:p>
        </w:tc>
        <w:tc>
          <w:tcPr>
            <w:tcW w:w="96" w:type="dxa"/>
            <w:tcBorders/>
            <w:shd w:fill="FFFFFF" w:val="clear"/>
            <w:vAlign w:val="center"/>
          </w:tcPr>
          <w:p>
            <w:pPr>
              <w:pStyle w:val="TableContents"/>
              <w:bidi w:val="0"/>
              <w:spacing w:before="0" w:after="283"/>
              <w:jc w:val="left"/>
              <w:rPr/>
            </w:pPr>
            <w:r>
              <w:rPr/>
              <w:t> </w:t>
            </w:r>
          </w:p>
        </w:tc>
      </w:tr>
      <w:tr>
        <w:trPr/>
        <w:tc>
          <w:tcPr>
            <w:tcW w:w="49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before income taxes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1,828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6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45" w:type="dxa"/>
            <w:tcBorders/>
            <w:shd w:fill="CCEEFF" w:val="clear"/>
            <w:vAlign w:val="center"/>
          </w:tcPr>
          <w:p>
            <w:pPr>
              <w:pStyle w:val="TableContents"/>
              <w:bidi w:val="0"/>
              <w:spacing w:before="0" w:after="283"/>
              <w:jc w:val="left"/>
              <w:rPr/>
            </w:pPr>
            <w:r>
              <w:rPr>
                <w:position w:val="8"/>
                <w:sz w:val="19"/>
              </w:rPr>
              <w:t> </w:t>
            </w: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2,263</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9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 expense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0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9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6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(138</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0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2g</w:t>
            </w:r>
            <w:r>
              <w:rPr>
                <w:rFonts w:ascii="Times New Roman;Times;Serif" w:hAnsi="Times New Roman;Times;Serif"/>
                <w:b w:val="false"/>
                <w:i w:val="false"/>
                <w:caps w:val="false"/>
                <w:smallCaps w:val="false"/>
                <w:sz w:val="20"/>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1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(444</w:t>
            </w:r>
          </w:p>
        </w:tc>
        <w:tc>
          <w:tcPr>
            <w:tcW w:w="9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9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Consolidated net income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1,363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6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45" w:type="dxa"/>
            <w:tcBorders/>
            <w:shd w:fill="CCEEFF" w:val="clear"/>
            <w:vAlign w:val="center"/>
          </w:tcPr>
          <w:p>
            <w:pPr>
              <w:pStyle w:val="TableContents"/>
              <w:bidi w:val="0"/>
              <w:spacing w:before="0" w:after="283"/>
              <w:jc w:val="left"/>
              <w:rPr/>
            </w:pPr>
            <w:r>
              <w:rPr>
                <w:position w:val="8"/>
                <w:sz w:val="19"/>
              </w:rPr>
              <w:t> </w:t>
            </w: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1,819</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9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Less: Net income attributable to noncontrolling interests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0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9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61"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0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2h</w:t>
            </w:r>
            <w:r>
              <w:rPr>
                <w:rFonts w:ascii="Times New Roman;Times;Serif" w:hAnsi="Times New Roman;Times;Serif"/>
                <w:b w:val="false"/>
                <w:i w:val="false"/>
                <w:caps w:val="false"/>
                <w:smallCaps w:val="false"/>
                <w:sz w:val="20"/>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1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(720</w:t>
            </w:r>
          </w:p>
        </w:tc>
        <w:tc>
          <w:tcPr>
            <w:tcW w:w="9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9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income attributable to Charter shareholders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9"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1,163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99"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61"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3"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2"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45" w:type="dxa"/>
            <w:tcBorders/>
            <w:shd w:fill="CCEEFF" w:val="clear"/>
            <w:vAlign w:val="center"/>
          </w:tcPr>
          <w:p>
            <w:pPr>
              <w:pStyle w:val="TableContents"/>
              <w:bidi w:val="0"/>
              <w:spacing w:before="0" w:after="283"/>
              <w:jc w:val="left"/>
              <w:rPr/>
            </w:pPr>
            <w:r>
              <w:rPr>
                <w:position w:val="8"/>
                <w:sz w:val="19"/>
              </w:rPr>
              <w:t> </w:t>
            </w: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1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1,099</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9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809"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9" w:type="dxa"/>
            <w:tcBorders/>
            <w:shd w:fill="FFFFFF" w:val="clear"/>
            <w:vAlign w:val="center"/>
          </w:tcPr>
          <w:p>
            <w:pPr>
              <w:pStyle w:val="TableContents"/>
              <w:bidi w:val="0"/>
              <w:spacing w:before="0" w:after="283"/>
              <w:jc w:val="left"/>
              <w:rPr/>
            </w:pPr>
            <w:r>
              <w:rPr/>
              <w:t> </w:t>
            </w:r>
          </w:p>
        </w:tc>
        <w:tc>
          <w:tcPr>
            <w:tcW w:w="1161"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3" w:type="dxa"/>
            <w:tcBorders/>
            <w:shd w:fill="FFFFFF" w:val="clear"/>
            <w:vAlign w:val="center"/>
          </w:tcPr>
          <w:p>
            <w:pPr>
              <w:pStyle w:val="TableContents"/>
              <w:bidi w:val="0"/>
              <w:spacing w:before="0" w:after="283"/>
              <w:jc w:val="left"/>
              <w:rPr/>
            </w:pPr>
            <w:r>
              <w:rPr/>
              <w:t> </w:t>
            </w:r>
          </w:p>
        </w:tc>
        <w:tc>
          <w:tcPr>
            <w:tcW w:w="802"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position w:val="8"/>
                <w:sz w:val="19"/>
              </w:rPr>
              <w:t> </w:t>
            </w: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810" w:type="dxa"/>
            <w:tcBorders/>
            <w:shd w:fill="FFFFFF" w:val="clear"/>
            <w:vAlign w:val="center"/>
          </w:tcPr>
          <w:p>
            <w:pPr>
              <w:pStyle w:val="TableContents"/>
              <w:bidi w:val="0"/>
              <w:spacing w:before="0" w:after="283"/>
              <w:jc w:val="right"/>
              <w:rPr/>
            </w:pPr>
            <w:r>
              <w:rPr/>
              <w:t> </w:t>
            </w:r>
          </w:p>
        </w:tc>
        <w:tc>
          <w:tcPr>
            <w:tcW w:w="96" w:type="dxa"/>
            <w:tcBorders/>
            <w:shd w:fill="FFFFFF" w:val="clear"/>
            <w:vAlign w:val="center"/>
          </w:tcPr>
          <w:p>
            <w:pPr>
              <w:pStyle w:val="TableContents"/>
              <w:bidi w:val="0"/>
              <w:spacing w:before="0" w:after="283"/>
              <w:jc w:val="left"/>
              <w:rPr/>
            </w:pPr>
            <w:r>
              <w:rPr/>
              <w:t> </w:t>
            </w:r>
          </w:p>
        </w:tc>
      </w:tr>
      <w:tr>
        <w:trPr/>
        <w:tc>
          <w:tcPr>
            <w:tcW w:w="49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EARNINGS PER COMMON SHARE:</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09"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9" w:type="dxa"/>
            <w:tcBorders/>
            <w:shd w:fill="CCEEFF" w:val="clear"/>
            <w:vAlign w:val="center"/>
          </w:tcPr>
          <w:p>
            <w:pPr>
              <w:pStyle w:val="TableContents"/>
              <w:bidi w:val="0"/>
              <w:spacing w:before="0" w:after="283"/>
              <w:jc w:val="left"/>
              <w:rPr/>
            </w:pPr>
            <w:r>
              <w:rPr/>
              <w:t> </w:t>
            </w:r>
          </w:p>
        </w:tc>
        <w:tc>
          <w:tcPr>
            <w:tcW w:w="1161"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jc w:val="left"/>
              <w:rPr/>
            </w:pPr>
            <w:r>
              <w:rPr/>
              <w:t> </w:t>
            </w:r>
          </w:p>
        </w:tc>
        <w:tc>
          <w:tcPr>
            <w:tcW w:w="802"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position w:val="8"/>
                <w:sz w:val="19"/>
              </w:rPr>
              <w:t> </w:t>
            </w: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10" w:type="dxa"/>
            <w:tcBorders/>
            <w:shd w:fill="CCEEFF" w:val="clear"/>
            <w:vAlign w:val="center"/>
          </w:tcPr>
          <w:p>
            <w:pPr>
              <w:pStyle w:val="TableContents"/>
              <w:bidi w:val="0"/>
              <w:spacing w:before="0" w:after="283"/>
              <w:jc w:val="right"/>
              <w:rPr/>
            </w:pPr>
            <w:r>
              <w:rPr/>
              <w:t> </w:t>
            </w:r>
          </w:p>
        </w:tc>
        <w:tc>
          <w:tcPr>
            <w:tcW w:w="96" w:type="dxa"/>
            <w:tcBorders/>
            <w:shd w:fill="CCEEFF" w:val="clear"/>
            <w:vAlign w:val="center"/>
          </w:tcPr>
          <w:p>
            <w:pPr>
              <w:pStyle w:val="TableContents"/>
              <w:bidi w:val="0"/>
              <w:spacing w:before="0" w:after="283"/>
              <w:jc w:val="left"/>
              <w:rPr/>
            </w:pPr>
            <w:r>
              <w:rPr/>
              <w:t> </w:t>
            </w:r>
          </w:p>
        </w:tc>
      </w:tr>
      <w:tr>
        <w:trPr/>
        <w:tc>
          <w:tcPr>
            <w:tcW w:w="49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299" w:type="dxa"/>
            <w:tcBorders/>
            <w:shd w:fill="FFFFFF" w:val="clear"/>
            <w:vAlign w:val="center"/>
          </w:tcPr>
          <w:p>
            <w:pPr>
              <w:pStyle w:val="TableContents"/>
              <w:bidi w:val="0"/>
              <w:spacing w:before="0" w:after="283"/>
              <w:jc w:val="left"/>
              <w:rPr/>
            </w:pPr>
            <w:r>
              <w:rPr/>
              <w:t> </w:t>
            </w:r>
          </w:p>
        </w:tc>
        <w:tc>
          <w:tcPr>
            <w:tcW w:w="1161"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3" w:type="dxa"/>
            <w:tcBorders/>
            <w:shd w:fill="FFFFFF" w:val="clear"/>
            <w:vAlign w:val="center"/>
          </w:tcPr>
          <w:p>
            <w:pPr>
              <w:pStyle w:val="TableContents"/>
              <w:bidi w:val="0"/>
              <w:spacing w:before="0" w:after="283"/>
              <w:jc w:val="left"/>
              <w:rPr/>
            </w:pPr>
            <w:r>
              <w:rPr/>
              <w:t> </w:t>
            </w:r>
          </w:p>
        </w:tc>
        <w:tc>
          <w:tcPr>
            <w:tcW w:w="802"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2i</w:t>
            </w:r>
            <w:r>
              <w:rPr>
                <w:rFonts w:ascii="Times New Roman;Times;Serif" w:hAnsi="Times New Roman;Times;Serif"/>
                <w:b w:val="false"/>
                <w:i w:val="false"/>
                <w:caps w:val="false"/>
                <w:smallCaps w:val="false"/>
                <w:sz w:val="20"/>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1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8.79</w:t>
            </w:r>
          </w:p>
        </w:tc>
        <w:tc>
          <w:tcPr>
            <w:tcW w:w="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9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Diluted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9"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299" w:type="dxa"/>
            <w:tcBorders/>
            <w:shd w:fill="CCEEFF" w:val="clear"/>
            <w:vAlign w:val="center"/>
          </w:tcPr>
          <w:p>
            <w:pPr>
              <w:pStyle w:val="TableContents"/>
              <w:bidi w:val="0"/>
              <w:spacing w:before="0" w:after="283"/>
              <w:jc w:val="left"/>
              <w:rPr/>
            </w:pPr>
            <w:r>
              <w:rPr/>
              <w:t> </w:t>
            </w:r>
          </w:p>
        </w:tc>
        <w:tc>
          <w:tcPr>
            <w:tcW w:w="1161"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jc w:val="left"/>
              <w:rPr/>
            </w:pPr>
            <w:r>
              <w:rPr/>
              <w:t> </w:t>
            </w:r>
          </w:p>
        </w:tc>
        <w:tc>
          <w:tcPr>
            <w:tcW w:w="802"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2i</w:t>
            </w:r>
            <w:r>
              <w:rPr>
                <w:rFonts w:ascii="Times New Roman;Times;Serif" w:hAnsi="Times New Roman;Times;Serif"/>
                <w:b w:val="false"/>
                <w:i w:val="false"/>
                <w:caps w:val="false"/>
                <w:smallCaps w:val="false"/>
                <w:sz w:val="20"/>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1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8.70</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9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WEIGHTED AVERAGE COMMON SHARES OUTSTANDING:</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809"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9" w:type="dxa"/>
            <w:tcBorders/>
            <w:shd w:fill="FFFFFF" w:val="clear"/>
            <w:vAlign w:val="center"/>
          </w:tcPr>
          <w:p>
            <w:pPr>
              <w:pStyle w:val="TableContents"/>
              <w:bidi w:val="0"/>
              <w:spacing w:before="0" w:after="283"/>
              <w:jc w:val="left"/>
              <w:rPr/>
            </w:pPr>
            <w:r>
              <w:rPr/>
              <w:t> </w:t>
            </w:r>
          </w:p>
        </w:tc>
        <w:tc>
          <w:tcPr>
            <w:tcW w:w="1161"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3" w:type="dxa"/>
            <w:tcBorders/>
            <w:shd w:fill="FFFFFF" w:val="clear"/>
            <w:vAlign w:val="center"/>
          </w:tcPr>
          <w:p>
            <w:pPr>
              <w:pStyle w:val="TableContents"/>
              <w:bidi w:val="0"/>
              <w:spacing w:before="0" w:after="283"/>
              <w:jc w:val="left"/>
              <w:rPr/>
            </w:pPr>
            <w:r>
              <w:rPr/>
              <w:t> </w:t>
            </w:r>
          </w:p>
        </w:tc>
        <w:tc>
          <w:tcPr>
            <w:tcW w:w="802"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position w:val="8"/>
                <w:sz w:val="19"/>
              </w:rPr>
              <w:t> </w:t>
            </w: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810" w:type="dxa"/>
            <w:tcBorders/>
            <w:shd w:fill="FFFFFF" w:val="clear"/>
            <w:vAlign w:val="center"/>
          </w:tcPr>
          <w:p>
            <w:pPr>
              <w:pStyle w:val="TableContents"/>
              <w:bidi w:val="0"/>
              <w:spacing w:before="0" w:after="283"/>
              <w:jc w:val="right"/>
              <w:rPr/>
            </w:pPr>
            <w:r>
              <w:rPr/>
              <w:t> </w:t>
            </w:r>
          </w:p>
        </w:tc>
        <w:tc>
          <w:tcPr>
            <w:tcW w:w="96" w:type="dxa"/>
            <w:tcBorders/>
            <w:shd w:fill="FFFFFF" w:val="clear"/>
            <w:vAlign w:val="center"/>
          </w:tcPr>
          <w:p>
            <w:pPr>
              <w:pStyle w:val="TableContents"/>
              <w:bidi w:val="0"/>
              <w:spacing w:before="0" w:after="283"/>
              <w:jc w:val="left"/>
              <w:rPr/>
            </w:pPr>
            <w:r>
              <w:rPr/>
              <w:t> </w:t>
            </w:r>
          </w:p>
        </w:tc>
      </w:tr>
      <w:tr>
        <w:trPr/>
        <w:tc>
          <w:tcPr>
            <w:tcW w:w="49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09"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299" w:type="dxa"/>
            <w:tcBorders/>
            <w:shd w:fill="CCEEFF" w:val="clear"/>
            <w:vAlign w:val="center"/>
          </w:tcPr>
          <w:p>
            <w:pPr>
              <w:pStyle w:val="TableContents"/>
              <w:bidi w:val="0"/>
              <w:spacing w:before="0" w:after="283"/>
              <w:jc w:val="left"/>
              <w:rPr/>
            </w:pPr>
            <w:r>
              <w:rPr/>
              <w:t> </w:t>
            </w:r>
          </w:p>
        </w:tc>
        <w:tc>
          <w:tcPr>
            <w:tcW w:w="1161"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jc w:val="left"/>
              <w:rPr/>
            </w:pPr>
            <w:r>
              <w:rPr/>
              <w:t> </w:t>
            </w:r>
          </w:p>
        </w:tc>
        <w:tc>
          <w:tcPr>
            <w:tcW w:w="802"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2i</w:t>
            </w:r>
            <w:r>
              <w:rPr>
                <w:rFonts w:ascii="Times New Roman;Times;Serif" w:hAnsi="Times New Roman;Times;Serif"/>
                <w:b w:val="false"/>
                <w:i w:val="false"/>
                <w:caps w:val="false"/>
                <w:smallCaps w:val="false"/>
                <w:sz w:val="20"/>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1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9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Diluted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0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299" w:type="dxa"/>
            <w:tcBorders/>
            <w:shd w:fill="FFFFFF" w:val="clear"/>
            <w:vAlign w:val="center"/>
          </w:tcPr>
          <w:p>
            <w:pPr>
              <w:pStyle w:val="TableContents"/>
              <w:bidi w:val="0"/>
              <w:spacing w:before="0" w:after="283"/>
              <w:jc w:val="left"/>
              <w:rPr/>
            </w:pPr>
            <w:r>
              <w:rPr/>
              <w:t> </w:t>
            </w:r>
          </w:p>
        </w:tc>
        <w:tc>
          <w:tcPr>
            <w:tcW w:w="1161"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3" w:type="dxa"/>
            <w:tcBorders/>
            <w:shd w:fill="FFFFFF" w:val="clear"/>
            <w:vAlign w:val="center"/>
          </w:tcPr>
          <w:p>
            <w:pPr>
              <w:pStyle w:val="TableContents"/>
              <w:bidi w:val="0"/>
              <w:spacing w:before="0" w:after="283"/>
              <w:jc w:val="left"/>
              <w:rPr/>
            </w:pPr>
            <w:r>
              <w:rPr/>
              <w:t> </w:t>
            </w:r>
          </w:p>
        </w:tc>
        <w:tc>
          <w:tcPr>
            <w:tcW w:w="802"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2i</w:t>
            </w:r>
            <w:r>
              <w:rPr>
                <w:rFonts w:ascii="Times New Roman;Times;Serif" w:hAnsi="Times New Roman;Times;Serif"/>
                <w:b w:val="false"/>
                <w:i w:val="false"/>
                <w:caps w:val="false"/>
                <w:smallCaps w:val="false"/>
                <w:sz w:val="20"/>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1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127</w:t>
            </w:r>
          </w:p>
        </w:tc>
        <w:tc>
          <w:tcPr>
            <w:tcW w:w="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 to Unaudited Pro Forma Condensed Combined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UNAUDITED PRO FORMA CONDENSED COMBINED STATEMENT OF OPERATIONS</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YEAR ENDED DECEMBER 31, 2025</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(dollars and weighted average shares outstanding in millions, except per share amounts)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910"/>
        <w:gridCol w:w="60"/>
        <w:gridCol w:w="170"/>
        <w:gridCol w:w="809"/>
        <w:gridCol w:w="80"/>
        <w:gridCol w:w="60"/>
        <w:gridCol w:w="255"/>
        <w:gridCol w:w="1205"/>
        <w:gridCol w:w="80"/>
        <w:gridCol w:w="60"/>
        <w:gridCol w:w="253"/>
        <w:gridCol w:w="802"/>
        <w:gridCol w:w="80"/>
        <w:gridCol w:w="245"/>
        <w:gridCol w:w="60"/>
        <w:gridCol w:w="170"/>
        <w:gridCol w:w="810"/>
        <w:gridCol w:w="96"/>
      </w:tblGrid>
      <w:tr>
        <w:trPr/>
        <w:tc>
          <w:tcPr>
            <w:tcW w:w="49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7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Charter</w:t>
              <w:br/>
              <w:t>(Historical)</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4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Cox</w:t>
              <w:br/>
              <w:t>Communications</w:t>
              <w:br/>
              <w:t>(Historical)</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5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 Forma</w:t>
              <w:br/>
              <w:t>Adjustments</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pPr>
            <w:r>
              <w:rPr>
                <w:position w:val="8"/>
                <w:sz w:val="19"/>
              </w:rPr>
              <w:t> </w:t>
            </w: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8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Pro Forma </w:t>
              <w:br/>
              <w:t>Combined</w:t>
            </w:r>
          </w:p>
        </w:tc>
        <w:tc>
          <w:tcPr>
            <w:tcW w:w="96"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9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54,774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5"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12,531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3"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2a</w:t>
            </w:r>
            <w:r>
              <w:rPr>
                <w:rFonts w:ascii="Times New Roman;Times;Serif" w:hAnsi="Times New Roman;Times;Serif"/>
                <w:b w:val="false"/>
                <w:i w:val="false"/>
                <w:caps w:val="false"/>
                <w:smallCaps w:val="false"/>
                <w:sz w:val="20"/>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1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67,359</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9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809"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3" w:type="dxa"/>
            <w:tcBorders/>
            <w:shd w:fill="FFFFFF" w:val="clear"/>
            <w:vAlign w:val="center"/>
          </w:tcPr>
          <w:p>
            <w:pPr>
              <w:pStyle w:val="TableContents"/>
              <w:bidi w:val="0"/>
              <w:spacing w:before="0" w:after="283"/>
              <w:jc w:val="left"/>
              <w:rPr/>
            </w:pPr>
            <w:r>
              <w:rPr/>
              <w:t> </w:t>
            </w:r>
          </w:p>
        </w:tc>
        <w:tc>
          <w:tcPr>
            <w:tcW w:w="802"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position w:val="8"/>
                <w:sz w:val="19"/>
              </w:rPr>
              <w:t> </w:t>
            </w: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810" w:type="dxa"/>
            <w:tcBorders/>
            <w:shd w:fill="FFFFFF" w:val="clear"/>
            <w:vAlign w:val="center"/>
          </w:tcPr>
          <w:p>
            <w:pPr>
              <w:pStyle w:val="TableContents"/>
              <w:bidi w:val="0"/>
              <w:spacing w:before="0" w:after="283"/>
              <w:jc w:val="right"/>
              <w:rPr/>
            </w:pPr>
            <w:r>
              <w:rPr/>
              <w:t> </w:t>
            </w:r>
          </w:p>
        </w:tc>
        <w:tc>
          <w:tcPr>
            <w:tcW w:w="96" w:type="dxa"/>
            <w:tcBorders/>
            <w:shd w:fill="FFFFFF" w:val="clear"/>
            <w:vAlign w:val="center"/>
          </w:tcPr>
          <w:p>
            <w:pPr>
              <w:pStyle w:val="TableContents"/>
              <w:bidi w:val="0"/>
              <w:spacing w:before="0" w:after="283"/>
              <w:jc w:val="left"/>
              <w:rPr/>
            </w:pPr>
            <w:r>
              <w:rPr/>
              <w:t> </w:t>
            </w:r>
          </w:p>
        </w:tc>
      </w:tr>
      <w:tr>
        <w:trPr/>
        <w:tc>
          <w:tcPr>
            <w:tcW w:w="49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COSTS AND EXPENSES:</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09"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jc w:val="left"/>
              <w:rPr/>
            </w:pPr>
            <w:r>
              <w:rPr/>
              <w:t> </w:t>
            </w:r>
          </w:p>
        </w:tc>
        <w:tc>
          <w:tcPr>
            <w:tcW w:w="802"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position w:val="8"/>
                <w:sz w:val="19"/>
              </w:rPr>
              <w:t> </w:t>
            </w: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10" w:type="dxa"/>
            <w:tcBorders/>
            <w:shd w:fill="CCEEFF" w:val="clear"/>
            <w:vAlign w:val="center"/>
          </w:tcPr>
          <w:p>
            <w:pPr>
              <w:pStyle w:val="TableContents"/>
              <w:bidi w:val="0"/>
              <w:spacing w:before="0" w:after="283"/>
              <w:jc w:val="right"/>
              <w:rPr/>
            </w:pPr>
            <w:r>
              <w:rPr/>
              <w:t> </w:t>
            </w:r>
          </w:p>
        </w:tc>
        <w:tc>
          <w:tcPr>
            <w:tcW w:w="96" w:type="dxa"/>
            <w:tcBorders/>
            <w:shd w:fill="CCEEFF" w:val="clear"/>
            <w:vAlign w:val="center"/>
          </w:tcPr>
          <w:p>
            <w:pPr>
              <w:pStyle w:val="TableContents"/>
              <w:bidi w:val="0"/>
              <w:spacing w:before="0" w:after="283"/>
              <w:ind w:left="0" w:right="0" w:hanging="180"/>
              <w:jc w:val="left"/>
              <w:rPr/>
            </w:pPr>
            <w:r>
              <w:rPr/>
              <w:t> </w:t>
            </w:r>
          </w:p>
        </w:tc>
      </w:tr>
      <w:tr>
        <w:trPr/>
        <w:tc>
          <w:tcPr>
            <w:tcW w:w="49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costs and expenses (exclusive of items shown separately below)</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32,739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7,543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2b</w:t>
            </w:r>
            <w:r>
              <w:rPr>
                <w:rFonts w:ascii="Times New Roman;Times;Serif" w:hAnsi="Times New Roman;Times;Serif"/>
                <w:b w:val="false"/>
                <w:i w:val="false"/>
                <w:caps w:val="false"/>
                <w:smallCaps w:val="false"/>
                <w:sz w:val="20"/>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40,060</w:t>
            </w:r>
          </w:p>
        </w:tc>
        <w:tc>
          <w:tcPr>
            <w:tcW w:w="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9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and amortization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8,711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2,158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2c</w:t>
            </w:r>
            <w:r>
              <w:rPr>
                <w:rFonts w:ascii="Times New Roman;Times;Serif" w:hAnsi="Times New Roman;Times;Serif"/>
                <w:b w:val="false"/>
                <w:i w:val="false"/>
                <w:caps w:val="false"/>
                <w:smallCaps w:val="false"/>
                <w:sz w:val="20"/>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11,374</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9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Impairment of intangible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9"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5,604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2"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left"/>
              <w:rPr/>
            </w:pPr>
            <w:r>
              <w:rPr>
                <w:position w:val="8"/>
                <w:sz w:val="19"/>
              </w:rPr>
              <w:t> </w:t>
            </w: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5,604</w:t>
            </w:r>
          </w:p>
        </w:tc>
        <w:tc>
          <w:tcPr>
            <w:tcW w:w="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9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operating expenses,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0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0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2d</w:t>
            </w:r>
            <w:r>
              <w:rPr>
                <w:rFonts w:ascii="Times New Roman;Times;Serif" w:hAnsi="Times New Roman;Times;Serif"/>
                <w:b w:val="false"/>
                <w:i w:val="false"/>
                <w:caps w:val="false"/>
                <w:smallCaps w:val="false"/>
                <w:sz w:val="20"/>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1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761</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9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0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41,866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15,497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0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left"/>
              <w:rPr/>
            </w:pPr>
            <w:r>
              <w:rPr>
                <w:position w:val="8"/>
                <w:sz w:val="19"/>
              </w:rPr>
              <w:t> </w:t>
            </w: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1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57,799</w:t>
            </w:r>
          </w:p>
        </w:tc>
        <w:tc>
          <w:tcPr>
            <w:tcW w:w="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9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(loss) from operations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0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12,908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(2,966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0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45" w:type="dxa"/>
            <w:tcBorders/>
            <w:shd w:fill="CCEEFF" w:val="clear"/>
            <w:vAlign w:val="center"/>
          </w:tcPr>
          <w:p>
            <w:pPr>
              <w:pStyle w:val="TableContents"/>
              <w:bidi w:val="0"/>
              <w:spacing w:before="0" w:after="283"/>
              <w:jc w:val="left"/>
              <w:rPr/>
            </w:pPr>
            <w:r>
              <w:rPr>
                <w:position w:val="8"/>
                <w:sz w:val="19"/>
              </w:rPr>
              <w:t> </w:t>
            </w: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1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9,560</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9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809"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3" w:type="dxa"/>
            <w:tcBorders/>
            <w:shd w:fill="FFFFFF" w:val="clear"/>
            <w:vAlign w:val="center"/>
          </w:tcPr>
          <w:p>
            <w:pPr>
              <w:pStyle w:val="TableContents"/>
              <w:bidi w:val="0"/>
              <w:spacing w:before="0" w:after="283"/>
              <w:jc w:val="left"/>
              <w:rPr/>
            </w:pPr>
            <w:r>
              <w:rPr/>
              <w:t> </w:t>
            </w:r>
          </w:p>
        </w:tc>
        <w:tc>
          <w:tcPr>
            <w:tcW w:w="802"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position w:val="8"/>
                <w:sz w:val="19"/>
              </w:rPr>
              <w:t> </w:t>
            </w: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810" w:type="dxa"/>
            <w:tcBorders/>
            <w:shd w:fill="FFFFFF" w:val="clear"/>
            <w:vAlign w:val="center"/>
          </w:tcPr>
          <w:p>
            <w:pPr>
              <w:pStyle w:val="TableContents"/>
              <w:bidi w:val="0"/>
              <w:spacing w:before="0" w:after="283"/>
              <w:jc w:val="right"/>
              <w:rPr/>
            </w:pPr>
            <w:r>
              <w:rPr/>
              <w:t> </w:t>
            </w:r>
          </w:p>
        </w:tc>
        <w:tc>
          <w:tcPr>
            <w:tcW w:w="96" w:type="dxa"/>
            <w:tcBorders/>
            <w:shd w:fill="FFFFFF" w:val="clear"/>
            <w:vAlign w:val="center"/>
          </w:tcPr>
          <w:p>
            <w:pPr>
              <w:pStyle w:val="TableContents"/>
              <w:bidi w:val="0"/>
              <w:spacing w:before="0" w:after="283"/>
              <w:jc w:val="left"/>
              <w:rPr/>
            </w:pPr>
            <w:r>
              <w:rPr/>
              <w:t> </w:t>
            </w:r>
          </w:p>
        </w:tc>
      </w:tr>
      <w:tr>
        <w:trPr/>
        <w:tc>
          <w:tcPr>
            <w:tcW w:w="49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INCOME (EXPENSES):</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09"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jc w:val="left"/>
              <w:rPr/>
            </w:pPr>
            <w:r>
              <w:rPr/>
              <w:t> </w:t>
            </w:r>
          </w:p>
        </w:tc>
        <w:tc>
          <w:tcPr>
            <w:tcW w:w="802"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position w:val="8"/>
                <w:sz w:val="19"/>
              </w:rPr>
              <w:t> </w:t>
            </w: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10" w:type="dxa"/>
            <w:tcBorders/>
            <w:shd w:fill="CCEEFF" w:val="clear"/>
            <w:vAlign w:val="center"/>
          </w:tcPr>
          <w:p>
            <w:pPr>
              <w:pStyle w:val="TableContents"/>
              <w:bidi w:val="0"/>
              <w:spacing w:before="0" w:after="283"/>
              <w:jc w:val="right"/>
              <w:rPr/>
            </w:pPr>
            <w:r>
              <w:rPr/>
              <w:t> </w:t>
            </w:r>
          </w:p>
        </w:tc>
        <w:tc>
          <w:tcPr>
            <w:tcW w:w="96" w:type="dxa"/>
            <w:tcBorders/>
            <w:shd w:fill="CCEEFF" w:val="clear"/>
            <w:vAlign w:val="center"/>
          </w:tcPr>
          <w:p>
            <w:pPr>
              <w:pStyle w:val="TableContents"/>
              <w:bidi w:val="0"/>
              <w:spacing w:before="0" w:after="283"/>
              <w:jc w:val="left"/>
              <w:rPr/>
            </w:pPr>
            <w:r>
              <w:rPr/>
              <w:t> </w:t>
            </w:r>
          </w:p>
        </w:tc>
      </w:tr>
      <w:tr>
        <w:trPr/>
        <w:tc>
          <w:tcPr>
            <w:tcW w:w="49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(5,042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(568</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2e</w:t>
            </w:r>
            <w:r>
              <w:rPr>
                <w:rFonts w:ascii="Times New Roman;Times;Serif" w:hAnsi="Times New Roman;Times;Serif"/>
                <w:b w:val="false"/>
                <w:i w:val="false"/>
                <w:caps w:val="false"/>
                <w:smallCaps w:val="false"/>
                <w:sz w:val="20"/>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(6,034</w:t>
            </w:r>
          </w:p>
        </w:tc>
        <w:tc>
          <w:tcPr>
            <w:tcW w:w="9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9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expenses,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0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(408</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0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2f</w:t>
            </w:r>
            <w:r>
              <w:rPr>
                <w:rFonts w:ascii="Times New Roman;Times;Serif" w:hAnsi="Times New Roman;Times;Serif"/>
                <w:b w:val="false"/>
                <w:i w:val="false"/>
                <w:caps w:val="false"/>
                <w:smallCaps w:val="false"/>
                <w:sz w:val="20"/>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1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(468</w:t>
            </w:r>
          </w:p>
        </w:tc>
        <w:tc>
          <w:tcPr>
            <w:tcW w:w="9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9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0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(5,450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0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(598</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45" w:type="dxa"/>
            <w:tcBorders/>
            <w:shd w:fill="FFFFFF" w:val="clear"/>
            <w:vAlign w:val="center"/>
          </w:tcPr>
          <w:p>
            <w:pPr>
              <w:pStyle w:val="TableContents"/>
              <w:bidi w:val="0"/>
              <w:spacing w:before="0" w:after="283"/>
              <w:jc w:val="left"/>
              <w:rPr/>
            </w:pPr>
            <w:r>
              <w:rPr>
                <w:position w:val="8"/>
                <w:sz w:val="19"/>
              </w:rPr>
              <w:t> </w:t>
            </w: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1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(6,502</w:t>
            </w:r>
          </w:p>
        </w:tc>
        <w:tc>
          <w:tcPr>
            <w:tcW w:w="9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9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09"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jc w:val="left"/>
              <w:rPr/>
            </w:pPr>
            <w:r>
              <w:rPr/>
              <w:t> </w:t>
            </w:r>
          </w:p>
        </w:tc>
        <w:tc>
          <w:tcPr>
            <w:tcW w:w="802"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position w:val="8"/>
                <w:sz w:val="19"/>
              </w:rPr>
              <w:t> </w:t>
            </w: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10" w:type="dxa"/>
            <w:tcBorders/>
            <w:shd w:fill="CCEEFF" w:val="clear"/>
            <w:vAlign w:val="center"/>
          </w:tcPr>
          <w:p>
            <w:pPr>
              <w:pStyle w:val="TableContents"/>
              <w:bidi w:val="0"/>
              <w:spacing w:before="0" w:after="283"/>
              <w:jc w:val="right"/>
              <w:rPr/>
            </w:pPr>
            <w:r>
              <w:rPr/>
              <w:t> </w:t>
            </w:r>
          </w:p>
        </w:tc>
        <w:tc>
          <w:tcPr>
            <w:tcW w:w="96" w:type="dxa"/>
            <w:tcBorders/>
            <w:shd w:fill="CCEEFF" w:val="clear"/>
            <w:vAlign w:val="center"/>
          </w:tcPr>
          <w:p>
            <w:pPr>
              <w:pStyle w:val="TableContents"/>
              <w:bidi w:val="0"/>
              <w:spacing w:before="0" w:after="283"/>
              <w:jc w:val="left"/>
              <w:rPr/>
            </w:pPr>
            <w:r>
              <w:rPr/>
              <w:t> </w:t>
            </w:r>
          </w:p>
        </w:tc>
      </w:tr>
      <w:tr>
        <w:trPr/>
        <w:tc>
          <w:tcPr>
            <w:tcW w:w="49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(loss) before income taxes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7,458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(3,420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(980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45" w:type="dxa"/>
            <w:tcBorders/>
            <w:shd w:fill="FFFFFF" w:val="clear"/>
            <w:vAlign w:val="center"/>
          </w:tcPr>
          <w:p>
            <w:pPr>
              <w:pStyle w:val="TableContents"/>
              <w:bidi w:val="0"/>
              <w:spacing w:before="0" w:after="283"/>
              <w:jc w:val="left"/>
              <w:rPr/>
            </w:pPr>
            <w:r>
              <w:rPr>
                <w:position w:val="8"/>
                <w:sz w:val="19"/>
              </w:rPr>
              <w:t> </w:t>
            </w: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3,058</w:t>
            </w:r>
          </w:p>
        </w:tc>
        <w:tc>
          <w:tcPr>
            <w:tcW w:w="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9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 expense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0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(1,692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0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2g</w:t>
            </w:r>
            <w:r>
              <w:rPr>
                <w:rFonts w:ascii="Times New Roman;Times;Serif" w:hAnsi="Times New Roman;Times;Serif"/>
                <w:b w:val="false"/>
                <w:i w:val="false"/>
                <w:caps w:val="false"/>
                <w:smallCaps w:val="false"/>
                <w:sz w:val="20"/>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1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(495</w:t>
            </w:r>
          </w:p>
        </w:tc>
        <w:tc>
          <w:tcPr>
            <w:tcW w:w="9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9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Consolidated net income (loss)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5,766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(2,648</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45" w:type="dxa"/>
            <w:tcBorders/>
            <w:shd w:fill="FFFFFF" w:val="clear"/>
            <w:vAlign w:val="center"/>
          </w:tcPr>
          <w:p>
            <w:pPr>
              <w:pStyle w:val="TableContents"/>
              <w:bidi w:val="0"/>
              <w:spacing w:before="0" w:after="283"/>
              <w:jc w:val="left"/>
              <w:rPr/>
            </w:pPr>
            <w:r>
              <w:rPr>
                <w:position w:val="8"/>
                <w:sz w:val="19"/>
              </w:rPr>
              <w:t> </w:t>
            </w: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2,563</w:t>
            </w:r>
          </w:p>
        </w:tc>
        <w:tc>
          <w:tcPr>
            <w:tcW w:w="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9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Less: Net income attributable to noncontrolling interests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0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(779</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0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(388</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2h</w:t>
            </w:r>
            <w:r>
              <w:rPr>
                <w:rFonts w:ascii="Times New Roman;Times;Serif" w:hAnsi="Times New Roman;Times;Serif"/>
                <w:b w:val="false"/>
                <w:i w:val="false"/>
                <w:caps w:val="false"/>
                <w:smallCaps w:val="false"/>
                <w:sz w:val="20"/>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1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(1,167</w:t>
            </w:r>
          </w:p>
        </w:tc>
        <w:tc>
          <w:tcPr>
            <w:tcW w:w="9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9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income (loss) attributable to Charter shareholders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4,987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0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(2,648</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3"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(943</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45" w:type="dxa"/>
            <w:tcBorders/>
            <w:shd w:fill="FFFFFF" w:val="clear"/>
            <w:vAlign w:val="center"/>
          </w:tcPr>
          <w:p>
            <w:pPr>
              <w:pStyle w:val="TableContents"/>
              <w:bidi w:val="0"/>
              <w:spacing w:before="0" w:after="283"/>
              <w:jc w:val="left"/>
              <w:rPr/>
            </w:pPr>
            <w:r>
              <w:rPr>
                <w:position w:val="8"/>
                <w:sz w:val="19"/>
              </w:rPr>
              <w:t> </w:t>
            </w: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1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1,396</w:t>
            </w:r>
          </w:p>
        </w:tc>
        <w:tc>
          <w:tcPr>
            <w:tcW w:w="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9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09"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jc w:val="left"/>
              <w:rPr/>
            </w:pPr>
            <w:r>
              <w:rPr/>
              <w:t> </w:t>
            </w:r>
          </w:p>
        </w:tc>
        <w:tc>
          <w:tcPr>
            <w:tcW w:w="802"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position w:val="8"/>
                <w:sz w:val="19"/>
              </w:rPr>
              <w:t> </w:t>
            </w: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10" w:type="dxa"/>
            <w:tcBorders/>
            <w:shd w:fill="CCEEFF" w:val="clear"/>
            <w:vAlign w:val="center"/>
          </w:tcPr>
          <w:p>
            <w:pPr>
              <w:pStyle w:val="TableContents"/>
              <w:bidi w:val="0"/>
              <w:spacing w:before="0" w:after="283"/>
              <w:jc w:val="right"/>
              <w:rPr/>
            </w:pPr>
            <w:r>
              <w:rPr/>
              <w:t> </w:t>
            </w:r>
          </w:p>
        </w:tc>
        <w:tc>
          <w:tcPr>
            <w:tcW w:w="96" w:type="dxa"/>
            <w:tcBorders/>
            <w:shd w:fill="CCEEFF" w:val="clear"/>
            <w:vAlign w:val="center"/>
          </w:tcPr>
          <w:p>
            <w:pPr>
              <w:pStyle w:val="TableContents"/>
              <w:bidi w:val="0"/>
              <w:spacing w:before="0" w:after="283"/>
              <w:jc w:val="left"/>
              <w:rPr/>
            </w:pPr>
            <w:r>
              <w:rPr/>
              <w:t> </w:t>
            </w:r>
          </w:p>
        </w:tc>
      </w:tr>
      <w:tr>
        <w:trPr/>
        <w:tc>
          <w:tcPr>
            <w:tcW w:w="49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EARNINGS PER COMMON SHARE:</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809"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3" w:type="dxa"/>
            <w:tcBorders/>
            <w:shd w:fill="FFFFFF" w:val="clear"/>
            <w:vAlign w:val="center"/>
          </w:tcPr>
          <w:p>
            <w:pPr>
              <w:pStyle w:val="TableContents"/>
              <w:bidi w:val="0"/>
              <w:spacing w:before="0" w:after="283"/>
              <w:jc w:val="left"/>
              <w:rPr/>
            </w:pPr>
            <w:r>
              <w:rPr/>
              <w:t> </w:t>
            </w:r>
          </w:p>
        </w:tc>
        <w:tc>
          <w:tcPr>
            <w:tcW w:w="802"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position w:val="8"/>
                <w:sz w:val="19"/>
              </w:rPr>
              <w:t> </w:t>
            </w: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810" w:type="dxa"/>
            <w:tcBorders/>
            <w:shd w:fill="FFFFFF" w:val="clear"/>
            <w:vAlign w:val="center"/>
          </w:tcPr>
          <w:p>
            <w:pPr>
              <w:pStyle w:val="TableContents"/>
              <w:bidi w:val="0"/>
              <w:spacing w:before="0" w:after="283"/>
              <w:jc w:val="right"/>
              <w:rPr/>
            </w:pPr>
            <w:r>
              <w:rPr/>
              <w:t> </w:t>
            </w:r>
          </w:p>
        </w:tc>
        <w:tc>
          <w:tcPr>
            <w:tcW w:w="96" w:type="dxa"/>
            <w:tcBorders/>
            <w:shd w:fill="FFFFFF" w:val="clear"/>
            <w:vAlign w:val="center"/>
          </w:tcPr>
          <w:p>
            <w:pPr>
              <w:pStyle w:val="TableContents"/>
              <w:bidi w:val="0"/>
              <w:spacing w:before="0" w:after="283"/>
              <w:jc w:val="left"/>
              <w:rPr/>
            </w:pPr>
            <w:r>
              <w:rPr/>
              <w:t> </w:t>
            </w:r>
          </w:p>
        </w:tc>
      </w:tr>
      <w:tr>
        <w:trPr/>
        <w:tc>
          <w:tcPr>
            <w:tcW w:w="49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9"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36.90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jc w:val="left"/>
              <w:rPr/>
            </w:pPr>
            <w:r>
              <w:rPr/>
              <w:t> </w:t>
            </w:r>
          </w:p>
        </w:tc>
        <w:tc>
          <w:tcPr>
            <w:tcW w:w="802"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2i</w:t>
            </w:r>
            <w:r>
              <w:rPr>
                <w:rFonts w:ascii="Times New Roman;Times;Serif" w:hAnsi="Times New Roman;Times;Serif"/>
                <w:b w:val="false"/>
                <w:i w:val="false"/>
                <w:caps w:val="false"/>
                <w:smallCaps w:val="false"/>
                <w:sz w:val="20"/>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1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10.34</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9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Diluted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36.21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3" w:type="dxa"/>
            <w:tcBorders/>
            <w:shd w:fill="FFFFFF" w:val="clear"/>
            <w:vAlign w:val="center"/>
          </w:tcPr>
          <w:p>
            <w:pPr>
              <w:pStyle w:val="TableContents"/>
              <w:bidi w:val="0"/>
              <w:spacing w:before="0" w:after="283"/>
              <w:jc w:val="left"/>
              <w:rPr/>
            </w:pPr>
            <w:r>
              <w:rPr/>
              <w:t> </w:t>
            </w:r>
          </w:p>
        </w:tc>
        <w:tc>
          <w:tcPr>
            <w:tcW w:w="802"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2i</w:t>
            </w:r>
            <w:r>
              <w:rPr>
                <w:rFonts w:ascii="Times New Roman;Times;Serif" w:hAnsi="Times New Roman;Times;Serif"/>
                <w:b w:val="false"/>
                <w:i w:val="false"/>
                <w:caps w:val="false"/>
                <w:smallCaps w:val="false"/>
                <w:sz w:val="20"/>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1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10.15</w:t>
            </w:r>
          </w:p>
        </w:tc>
        <w:tc>
          <w:tcPr>
            <w:tcW w:w="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9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WEIGHTED AVERAGE COMMON SHARES OUTSTANDING:</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09"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jc w:val="left"/>
              <w:rPr/>
            </w:pPr>
            <w:r>
              <w:rPr/>
              <w:t> </w:t>
            </w:r>
          </w:p>
        </w:tc>
        <w:tc>
          <w:tcPr>
            <w:tcW w:w="802"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position w:val="8"/>
                <w:sz w:val="19"/>
              </w:rPr>
              <w:t> </w:t>
            </w: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10" w:type="dxa"/>
            <w:tcBorders/>
            <w:shd w:fill="CCEEFF" w:val="clear"/>
            <w:vAlign w:val="center"/>
          </w:tcPr>
          <w:p>
            <w:pPr>
              <w:pStyle w:val="TableContents"/>
              <w:bidi w:val="0"/>
              <w:spacing w:before="0" w:after="283"/>
              <w:jc w:val="right"/>
              <w:rPr/>
            </w:pPr>
            <w:r>
              <w:rPr/>
              <w:t> </w:t>
            </w:r>
          </w:p>
        </w:tc>
        <w:tc>
          <w:tcPr>
            <w:tcW w:w="96" w:type="dxa"/>
            <w:tcBorders/>
            <w:shd w:fill="CCEEFF" w:val="clear"/>
            <w:vAlign w:val="center"/>
          </w:tcPr>
          <w:p>
            <w:pPr>
              <w:pStyle w:val="TableContents"/>
              <w:bidi w:val="0"/>
              <w:spacing w:before="0" w:after="283"/>
              <w:jc w:val="left"/>
              <w:rPr/>
            </w:pPr>
            <w:r>
              <w:rPr/>
              <w:t> </w:t>
            </w:r>
          </w:p>
        </w:tc>
      </w:tr>
      <w:tr>
        <w:trPr/>
        <w:tc>
          <w:tcPr>
            <w:tcW w:w="49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0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3" w:type="dxa"/>
            <w:tcBorders/>
            <w:shd w:fill="FFFFFF" w:val="clear"/>
            <w:vAlign w:val="center"/>
          </w:tcPr>
          <w:p>
            <w:pPr>
              <w:pStyle w:val="TableContents"/>
              <w:bidi w:val="0"/>
              <w:spacing w:before="0" w:after="283"/>
              <w:jc w:val="left"/>
              <w:rPr/>
            </w:pPr>
            <w:r>
              <w:rPr/>
              <w:t> </w:t>
            </w:r>
          </w:p>
        </w:tc>
        <w:tc>
          <w:tcPr>
            <w:tcW w:w="802"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2i</w:t>
            </w:r>
            <w:r>
              <w:rPr>
                <w:rFonts w:ascii="Times New Roman;Times;Serif" w:hAnsi="Times New Roman;Times;Serif"/>
                <w:b w:val="false"/>
                <w:i w:val="false"/>
                <w:caps w:val="false"/>
                <w:smallCaps w:val="false"/>
                <w:sz w:val="20"/>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1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135</w:t>
            </w:r>
          </w:p>
        </w:tc>
        <w:tc>
          <w:tcPr>
            <w:tcW w:w="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9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Diluted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09"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jc w:val="left"/>
              <w:rPr/>
            </w:pPr>
            <w:r>
              <w:rPr/>
              <w:t> </w:t>
            </w:r>
          </w:p>
        </w:tc>
        <w:tc>
          <w:tcPr>
            <w:tcW w:w="802"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2i</w:t>
            </w:r>
            <w:r>
              <w:rPr>
                <w:rFonts w:ascii="Times New Roman;Times;Serif" w:hAnsi="Times New Roman;Times;Serif"/>
                <w:b w:val="false"/>
                <w:i w:val="false"/>
                <w:caps w:val="false"/>
                <w:smallCaps w:val="false"/>
                <w:sz w:val="20"/>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1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138</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 to Unaudited Pro Forma Condensed Combined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PRO FORMA CONDENSED COMBINED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 Cox Transactions Pro Forma Balance Sheet Adjustments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the unaudited pro forma financial statements, the preliminary purchase price is assumed to be approximately $14.3 billion based on preliminary fair value estimates for each component of consideration transferred to Cox Enterprises. The Charter Holdings common units which are exchangeable into Charter Class A common stock are fair valued based on a $142.21 closing price of Charter Class A common stock on June 30, 2026, representing the last business day of the most recently completed month. The Charter Holdings convertible preferred units fair value estimate is based on an initial preferred instrument multiple above the $6.0 billion aggregate liquidation preference contemplating a 6.875% preferred cash dividend and estimated fair value of Charter Class A common stock upon conversion. The final purchase price will be different from the preliminary purchase price presented as the fair value of the equity portion of the Cox Transactions consideration will be based on the fair value of Charter Class A common stock at closing.</w:t>
      </w:r>
    </w:p>
    <w:p>
      <w:pPr>
        <w:pStyle w:val="TextBody"/>
        <w:bidi w:val="0"/>
        <w:spacing w:before="0" w:after="0"/>
        <w:ind w:left="0" w:right="0" w:hanging="0"/>
        <w:jc w:val="left"/>
        <w:rPr>
          <w:caps w:val="false"/>
          <w:smallCaps w:val="false"/>
        </w:rPr>
      </w:pPr>
      <w:r>
        <w:rPr>
          <w:caps w:val="false"/>
          <w:smallCaps w:val="false"/>
        </w:rPr>
        <w:t> </w:t>
      </w:r>
    </w:p>
    <w:tbl>
      <w:tblPr>
        <w:tblW w:w="8445" w:type="dxa"/>
        <w:jc w:val="left"/>
        <w:tblInd w:w="0" w:type="dxa"/>
        <w:tblLayout w:type="fixed"/>
        <w:tblCellMar>
          <w:top w:w="0" w:type="dxa"/>
          <w:left w:w="0" w:type="dxa"/>
          <w:bottom w:w="28" w:type="dxa"/>
          <w:right w:w="0" w:type="dxa"/>
        </w:tblCellMar>
      </w:tblPr>
      <w:tblGrid>
        <w:gridCol w:w="7595"/>
        <w:gridCol w:w="60"/>
        <w:gridCol w:w="125"/>
        <w:gridCol w:w="590"/>
        <w:gridCol w:w="75"/>
      </w:tblGrid>
      <w:tr>
        <w:trPr/>
        <w:tc>
          <w:tcPr>
            <w:tcW w:w="7595" w:type="dxa"/>
            <w:tcBorders>
              <w:bottom w:val="single" w:sz="8" w:space="0" w:color="000000"/>
            </w:tcBorders>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 millions, except price per share data)</w:t>
            </w:r>
          </w:p>
        </w:tc>
        <w:tc>
          <w:tcPr>
            <w:tcW w:w="60" w:type="dxa"/>
            <w:tcBorders/>
            <w:tcMar>
              <w:bottom w:w="0" w:type="dxa"/>
            </w:tcMar>
            <w:vAlign w:val="center"/>
          </w:tcPr>
          <w:p>
            <w:pPr>
              <w:pStyle w:val="TableContents"/>
              <w:bidi w:val="0"/>
              <w:spacing w:before="0" w:after="283"/>
              <w:jc w:val="left"/>
              <w:rPr/>
            </w:pPr>
            <w:r>
              <w:rPr/>
              <w:t> </w:t>
            </w:r>
          </w:p>
        </w:tc>
        <w:tc>
          <w:tcPr>
            <w:tcW w:w="715" w:type="dxa"/>
            <w:gridSpan w:val="2"/>
            <w:tcBorders/>
            <w:tcMar>
              <w:bottom w:w="0" w:type="dxa"/>
            </w:tcMar>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759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Charter Holdings common units issued to Cox Enterprises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33.6</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9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Closing price as of June 30, 2026</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90"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142.21</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9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Estimated fair value of Charter Holdings common units issued to Cox Enterprises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9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4,776</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9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Estimated fair value of Charter Holdings convertible preferred units issued to Cox Enterprises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5,378</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9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paid to Cox Enterprises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4,150</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9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preliminary purchase price</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90" w:type="dxa"/>
            <w:tcBorders>
              <w:bottom w:val="double" w:sz="6"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14,304</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presents the allocation of the preliminary purchase price to the identifiable assets acquired and liabilities assumed at their respective estimated fair values as if the Cox Transactions had closed on March 31, 2026.</w:t>
      </w:r>
    </w:p>
    <w:p>
      <w:pPr>
        <w:pStyle w:val="TextBody"/>
        <w:bidi w:val="0"/>
        <w:spacing w:before="0" w:after="0"/>
        <w:ind w:left="0" w:right="0" w:hanging="0"/>
        <w:jc w:val="left"/>
        <w:rPr>
          <w:caps w:val="false"/>
          <w:smallCaps w:val="false"/>
        </w:rPr>
      </w:pPr>
      <w:r>
        <w:rPr>
          <w:caps w:val="false"/>
          <w:smallCaps w:val="false"/>
        </w:rPr>
        <w:t> </w:t>
      </w:r>
    </w:p>
    <w:tbl>
      <w:tblPr>
        <w:tblW w:w="7190" w:type="dxa"/>
        <w:jc w:val="left"/>
        <w:tblInd w:w="0" w:type="dxa"/>
        <w:tblLayout w:type="fixed"/>
        <w:tblCellMar>
          <w:top w:w="0" w:type="dxa"/>
          <w:left w:w="0" w:type="dxa"/>
          <w:bottom w:w="28" w:type="dxa"/>
          <w:right w:w="0" w:type="dxa"/>
        </w:tblCellMar>
      </w:tblPr>
      <w:tblGrid>
        <w:gridCol w:w="6260"/>
        <w:gridCol w:w="60"/>
        <w:gridCol w:w="125"/>
        <w:gridCol w:w="650"/>
        <w:gridCol w:w="95"/>
      </w:tblGrid>
      <w:tr>
        <w:trPr/>
        <w:tc>
          <w:tcPr>
            <w:tcW w:w="6260" w:type="dxa"/>
            <w:tcBorders>
              <w:bottom w:val="single" w:sz="8" w:space="0" w:color="000000"/>
            </w:tcBorders>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 millions)</w:t>
            </w:r>
          </w:p>
        </w:tc>
        <w:tc>
          <w:tcPr>
            <w:tcW w:w="60" w:type="dxa"/>
            <w:tcBorders/>
            <w:tcMar>
              <w:bottom w:w="0" w:type="dxa"/>
            </w:tcMar>
            <w:vAlign w:val="center"/>
          </w:tcPr>
          <w:p>
            <w:pPr>
              <w:pStyle w:val="TableContents"/>
              <w:bidi w:val="0"/>
              <w:spacing w:before="0" w:after="283"/>
              <w:jc w:val="left"/>
              <w:rPr/>
            </w:pPr>
            <w:r>
              <w:rPr/>
              <w:t> </w:t>
            </w:r>
          </w:p>
        </w:tc>
        <w:tc>
          <w:tcPr>
            <w:tcW w:w="775" w:type="dxa"/>
            <w:gridSpan w:val="2"/>
            <w:tcBorders/>
            <w:tcMar>
              <w:bottom w:w="0" w:type="dxa"/>
            </w:tcMar>
            <w:vAlign w:val="center"/>
          </w:tcPr>
          <w:p>
            <w:pPr>
              <w:pStyle w:val="TableContents"/>
              <w:bidi w:val="0"/>
              <w:spacing w:before="0" w:after="283"/>
              <w:jc w:val="left"/>
              <w:rPr/>
            </w:pPr>
            <w:r>
              <w:rPr/>
              <w:t> </w:t>
            </w:r>
          </w:p>
        </w:tc>
        <w:tc>
          <w:tcPr>
            <w:tcW w:w="95" w:type="dxa"/>
            <w:tcBorders/>
            <w:tcMar>
              <w:bottom w:w="0" w:type="dxa"/>
            </w:tcMar>
            <w:vAlign w:val="center"/>
          </w:tcPr>
          <w:p>
            <w:pPr>
              <w:pStyle w:val="TableContents"/>
              <w:bidi w:val="0"/>
              <w:spacing w:before="0" w:after="283"/>
              <w:jc w:val="left"/>
              <w:rPr/>
            </w:pPr>
            <w:r>
              <w:rPr/>
              <w:t> </w:t>
            </w:r>
          </w:p>
        </w:tc>
      </w:tr>
      <w:tr>
        <w:trPr/>
        <w:tc>
          <w:tcPr>
            <w:tcW w:w="626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assets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1,105</w:t>
            </w:r>
          </w:p>
        </w:tc>
        <w:tc>
          <w:tcPr>
            <w:tcW w:w="9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626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plant and equipment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16,500</w:t>
            </w:r>
          </w:p>
        </w:tc>
        <w:tc>
          <w:tcPr>
            <w:tcW w:w="9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626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Customer relationships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3,600</w:t>
            </w:r>
          </w:p>
        </w:tc>
        <w:tc>
          <w:tcPr>
            <w:tcW w:w="9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626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Franchises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6,475</w:t>
            </w:r>
          </w:p>
        </w:tc>
        <w:tc>
          <w:tcPr>
            <w:tcW w:w="9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626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noncurrent assets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640</w:t>
            </w:r>
          </w:p>
        </w:tc>
        <w:tc>
          <w:tcPr>
            <w:tcW w:w="9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626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liabilities (includes current portion of long-term debt of $1.0 billion)</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(2,846</w:t>
            </w:r>
          </w:p>
        </w:tc>
        <w:tc>
          <w:tcPr>
            <w:tcW w:w="9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26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Long-term debt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(10,122</w:t>
            </w:r>
          </w:p>
        </w:tc>
        <w:tc>
          <w:tcPr>
            <w:tcW w:w="9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26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income taxes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(594</w:t>
            </w:r>
          </w:p>
        </w:tc>
        <w:tc>
          <w:tcPr>
            <w:tcW w:w="9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26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long-term liabilities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(454</w:t>
            </w:r>
          </w:p>
        </w:tc>
        <w:tc>
          <w:tcPr>
            <w:tcW w:w="9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2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0" w:type="dxa"/>
            <w:tcBorders>
              <w:bottom w:val="double" w:sz="6"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14,304</w:t>
            </w:r>
          </w:p>
        </w:tc>
        <w:tc>
          <w:tcPr>
            <w:tcW w:w="9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preliminary estimates are based upon currently available information. As such, additional assets and liabilities may be identified and reflected in the final purchase price allocation.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finalization of the fair value assessment, Charter anticipates the finalized fair values of the net assets acquired will differ from the preliminary assessment outlined above. Generally, changes to the initial estimates of the fair value of the assets acquired and liabilities assumed will be recorded as adjustments to those assets and liabilities and residual amounts will be allocated to goodwill. If upon completion of the valuations, the fair values are greater or less than the amounts included in the preliminary purchase price allocation above, such a change would not likely have a material impact on the financial position or results of operations of Charter.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summarizes the pro forma balance sheet adjustments relating to the Cox Transactions: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2"/>
        <w:gridCol w:w="9956"/>
      </w:tblGrid>
      <w:tr>
        <w:trPr/>
        <w:tc>
          <w:tcPr>
            <w:tcW w:w="37"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pPr>
            <w:r>
              <w:rPr/>
              <w:t>(a)</w:t>
            </w:r>
          </w:p>
        </w:tc>
        <w:tc>
          <w:tcPr>
            <w:tcW w:w="9956" w:type="dxa"/>
            <w:tcBorders/>
            <w:vAlign w:val="center"/>
          </w:tcPr>
          <w:p>
            <w:pPr>
              <w:pStyle w:val="TableContents"/>
              <w:bidi w:val="0"/>
              <w:spacing w:before="0" w:after="283"/>
              <w:jc w:val="both"/>
              <w:rPr/>
            </w:pPr>
            <w:r>
              <w:rPr/>
              <w:t>Pro forma adjustment of $154 million to cash and cash equivalents represents the use of cash to pay approximately $142 million of remaining transaction costs not already reflected in the historical financial statements including advisor fees and other expenses directly related to the Cox Transactions, as well as $28 million use of cash to pay debt issuance costs, offset by $16 million source of cash from Cox Enterprises to reflect minimum operating cash of $100 million to be assumed at closing per the Transaction Agreement. Refer to (e) below for sources and uses of cash.</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77"/>
        <w:gridCol w:w="9891"/>
      </w:tblGrid>
      <w:tr>
        <w:trPr/>
        <w:tc>
          <w:tcPr>
            <w:tcW w:w="3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pPr>
            <w:r>
              <w:rPr/>
              <w:t>(b)</w:t>
            </w:r>
          </w:p>
        </w:tc>
        <w:tc>
          <w:tcPr>
            <w:tcW w:w="9891" w:type="dxa"/>
            <w:tcBorders/>
            <w:vAlign w:val="center"/>
          </w:tcPr>
          <w:p>
            <w:pPr>
              <w:pStyle w:val="TableContents"/>
              <w:bidi w:val="0"/>
              <w:spacing w:before="0" w:after="283"/>
              <w:jc w:val="both"/>
              <w:rPr/>
            </w:pPr>
            <w:r>
              <w:rPr/>
              <w:t>Represents the elimination of the intercompany note receivable from Cox Enterprises not assumed in the Cox Transactions.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7"/>
        <w:gridCol w:w="9961"/>
      </w:tblGrid>
      <w:tr>
        <w:trPr/>
        <w:tc>
          <w:tcPr>
            <w:tcW w:w="3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pPr>
            <w:r>
              <w:rPr/>
              <w:t>(c)</w:t>
            </w:r>
          </w:p>
        </w:tc>
        <w:tc>
          <w:tcPr>
            <w:tcW w:w="9961" w:type="dxa"/>
            <w:tcBorders/>
            <w:vAlign w:val="center"/>
          </w:tcPr>
          <w:p>
            <w:pPr>
              <w:pStyle w:val="TableContents"/>
              <w:bidi w:val="0"/>
              <w:spacing w:before="0" w:after="283"/>
              <w:jc w:val="both"/>
              <w:rPr/>
            </w:pPr>
            <w:r>
              <w:rPr/>
              <w:t>For pro forma purposes, preliminary estimates are used for allocations of the purchase price to Cox Communications' property, plant and equipment; customer relationships; and franchises. As of the filing date, Charter has not completed the detailed valuation studies necessary to determine the fair value of Cox Communications' assets to be acquired and liabilities to be assumed, or the related allocations of purchase price. Accordingly, the allocation of purchase price to acquired tangible and intangible assets is based on preliminary fair value estimates and is subject to revision following management's final analysis, with assistance from third-party valuation advisors, upon completion of the Cox transactions. The estimated tangible and intangible asset values and their remaining useful lives may materially change based on information obtained during the acquisition process and circumstances occurring prior to closing.</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0"/>
        <w:gridCol w:w="9938"/>
      </w:tblGrid>
      <w:tr>
        <w:trPr/>
        <w:tc>
          <w:tcPr>
            <w:tcW w:w="37"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(d)</w:t>
            </w:r>
          </w:p>
        </w:tc>
        <w:tc>
          <w:tcPr>
            <w:tcW w:w="9938" w:type="dxa"/>
            <w:tcBorders/>
            <w:vAlign w:val="center"/>
          </w:tcPr>
          <w:p>
            <w:pPr>
              <w:pStyle w:val="TableContents"/>
              <w:bidi w:val="0"/>
              <w:spacing w:before="0" w:after="283"/>
              <w:jc w:val="both"/>
              <w:rPr/>
            </w:pPr>
            <w:r>
              <w:rPr/>
              <w:t>Represents the write-down of the Cox Communications trade name intangible under the market participant assumption that it will not continue as a market-based intangible. The Spectrum trade name will be used to market or promote the products and services of the combined company across the Cox footprint whereas the Cox Communications trade name will become the name of the combined company within one year of closing the Cox Transactions.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6"/>
        <w:gridCol w:w="9962"/>
      </w:tblGrid>
      <w:tr>
        <w:trPr/>
        <w:tc>
          <w:tcPr>
            <w:tcW w:w="37"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pPr>
            <w:r>
              <w:rPr/>
              <w:t>(e)</w:t>
            </w:r>
          </w:p>
        </w:tc>
        <w:tc>
          <w:tcPr>
            <w:tcW w:w="9962" w:type="dxa"/>
            <w:tcBorders/>
            <w:vAlign w:val="center"/>
          </w:tcPr>
          <w:p>
            <w:pPr>
              <w:pStyle w:val="TableContents"/>
              <w:bidi w:val="0"/>
              <w:spacing w:before="0" w:after="283"/>
              <w:jc w:val="both"/>
              <w:rPr/>
            </w:pPr>
            <w:r>
              <w:rPr/>
              <w:t>Cox Communications’ debt assumed was adjusted to the most recent available estimated fair value using quoted market values as of June 30, 2026 representing the last business day of the most recently completed month. This adjustment resulted in a decrease in long-term debt of approximately $1.3 billion. The fair value adjustment to long-term debt is a result of quoted market values of Cox Communications’ debt being lower than the face amount of the related debt as a result of market interest rates being higher than the stated interest rate of the debt. In acquisition accounting, this results in the recognition of a debt discount that is amortized as an increase to interest expense over the remaining life of the debt. In addition, long-term debt was also adjusted to reflect $4.15 billion new debt raised, less debt issuance costs, to fund the preliminary purchase price of the Cox Transactions. This includes an additional $150 million for Cox Communications’ repayment of bond at maturity in June 2025 that they no longer intend to refinance before closing of the Cox Transactions.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pro forma cash sources and uses as a result of the Cox Transactions.</w:t>
      </w:r>
    </w:p>
    <w:p>
      <w:pPr>
        <w:pStyle w:val="TextBody"/>
        <w:bidi w:val="0"/>
        <w:spacing w:before="0" w:after="0"/>
        <w:ind w:left="0" w:right="0" w:hanging="0"/>
        <w:jc w:val="left"/>
        <w:rPr>
          <w:caps w:val="false"/>
          <w:smallCaps w:val="false"/>
        </w:rPr>
      </w:pPr>
      <w:r>
        <w:rPr>
          <w:caps w:val="false"/>
          <w:smallCaps w:val="false"/>
        </w:rPr>
        <w:t> </w:t>
      </w:r>
    </w:p>
    <w:tbl>
      <w:tblPr>
        <w:tblW w:w="6510" w:type="dxa"/>
        <w:jc w:val="left"/>
        <w:tblInd w:w="0" w:type="dxa"/>
        <w:tblLayout w:type="fixed"/>
        <w:tblCellMar>
          <w:top w:w="0" w:type="dxa"/>
          <w:left w:w="0" w:type="dxa"/>
          <w:bottom w:w="28" w:type="dxa"/>
          <w:right w:w="0" w:type="dxa"/>
        </w:tblCellMar>
      </w:tblPr>
      <w:tblGrid>
        <w:gridCol w:w="5765"/>
        <w:gridCol w:w="60"/>
        <w:gridCol w:w="125"/>
        <w:gridCol w:w="485"/>
        <w:gridCol w:w="75"/>
      </w:tblGrid>
      <w:tr>
        <w:trPr/>
        <w:tc>
          <w:tcPr>
            <w:tcW w:w="5765" w:type="dxa"/>
            <w:tcBorders>
              <w:bottom w:val="single" w:sz="8" w:space="0" w:color="000000"/>
            </w:tcBorders>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 millions)</w:t>
            </w:r>
          </w:p>
        </w:tc>
        <w:tc>
          <w:tcPr>
            <w:tcW w:w="60" w:type="dxa"/>
            <w:tcBorders/>
            <w:tcMar>
              <w:bottom w:w="0" w:type="dxa"/>
            </w:tcMar>
            <w:vAlign w:val="center"/>
          </w:tcPr>
          <w:p>
            <w:pPr>
              <w:pStyle w:val="TableContents"/>
              <w:bidi w:val="0"/>
              <w:spacing w:before="0" w:after="283"/>
              <w:jc w:val="left"/>
              <w:rPr/>
            </w:pPr>
            <w:r>
              <w:rPr/>
              <w:t> </w:t>
            </w:r>
          </w:p>
        </w:tc>
        <w:tc>
          <w:tcPr>
            <w:tcW w:w="610" w:type="dxa"/>
            <w:gridSpan w:val="2"/>
            <w:tcBorders/>
            <w:tcMar>
              <w:bottom w:w="0" w:type="dxa"/>
            </w:tcMar>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5765" w:type="dxa"/>
            <w:tcBorders/>
            <w:shd w:fill="CCEE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Sources: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485" w:type="dxa"/>
            <w:tcBorders/>
            <w:shd w:fill="CCEEFF" w:val="clear"/>
            <w:tcMar>
              <w:bottom w:w="0" w:type="dxa"/>
            </w:tcMar>
            <w:vAlign w:val="center"/>
          </w:tcPr>
          <w:p>
            <w:pPr>
              <w:pStyle w:val="TableContents"/>
              <w:bidi w:val="0"/>
              <w:spacing w:before="0" w:after="283"/>
              <w:jc w:val="right"/>
              <w:rPr/>
            </w:pPr>
            <w:r>
              <w:rPr/>
              <w:t> </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576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Proceeds from issuance of long-term debt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8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4,150</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576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Communications cash and cash equivalents assumed</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576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Enterprises cash contributed to reflect minimum operating cash</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576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Charter cash and cash equivalents on-hand</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576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85" w:type="dxa"/>
            <w:tcBorders>
              <w:bottom w:val="double" w:sz="6"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4,320</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5765" w:type="dxa"/>
            <w:tcBorders/>
            <w:shd w:fill="CCEE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485" w:type="dxa"/>
            <w:tcBorders/>
            <w:shd w:fill="CCEEFF" w:val="clear"/>
            <w:tcMar>
              <w:bottom w:w="0" w:type="dxa"/>
            </w:tcMar>
            <w:vAlign w:val="center"/>
          </w:tcPr>
          <w:p>
            <w:pPr>
              <w:pStyle w:val="TableContents"/>
              <w:bidi w:val="0"/>
              <w:spacing w:before="0" w:after="283"/>
              <w:jc w:val="right"/>
              <w:rPr/>
            </w:pPr>
            <w:r>
              <w:rPr/>
              <w:t> </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576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portion of purchase price paid to Cox Enterprises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8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4,150</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5765"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Remaining transaction costs including advisor fees and other expenses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142</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5765"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Debt issuance costs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576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85"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4,320</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5"/>
        <w:gridCol w:w="9993"/>
      </w:tblGrid>
      <w:tr>
        <w:trPr/>
        <w:tc>
          <w:tcPr>
            <w:tcW w:w="37"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pPr>
            <w:r>
              <w:rPr/>
              <w:t>(f)</w:t>
            </w:r>
          </w:p>
        </w:tc>
        <w:tc>
          <w:tcPr>
            <w:tcW w:w="9993" w:type="dxa"/>
            <w:tcBorders/>
            <w:vAlign w:val="center"/>
          </w:tcPr>
          <w:p>
            <w:pPr>
              <w:pStyle w:val="TableContents"/>
              <w:bidi w:val="0"/>
              <w:spacing w:before="0" w:after="283"/>
              <w:jc w:val="both"/>
              <w:rPr/>
            </w:pPr>
            <w:r>
              <w:rPr/>
              <w:t>For pro forma purposes, deferred taxes are presented dependent on the anticipated tax treatment for the Contribution and the Equity Sale components of the Cox Transactions. The Contribution is treated as a nontaxable partnership contribution and no Charter deferred taxes are assumed to be recorded in purchase accounting as the excess book basis of net assets contributed is associated with the noncontrolling interest partner, Cox Enterprises, and not the controlling interest partner, Charter. The Equity Sale is treated as a taxable stock acquisition and the tax attributes of the Cox Communications subsidiaries acquired are assumed to carry over to Charter and net deferred tax liabilities of $594 million are estimated to be recorded in purchase accounting reflecting historical temporary difference of these subsidiaries contemplating additional book step-up and applying an estimated tax rate of 25%. Lastly, on the relative ownership adjustment of Charter Holdings, a $945 million reduction in deferred tax liabilities is estimated for the carrying value adjustment to Charter’s common units held in Charter Holdings applying an estimated tax rate of 25%. Refer to (h) below on relative ownership adjustment to shareholders’ equity.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78"/>
        <w:gridCol w:w="9890"/>
      </w:tblGrid>
      <w:tr>
        <w:trPr/>
        <w:tc>
          <w:tcPr>
            <w:tcW w:w="37"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pPr>
            <w:r>
              <w:rPr/>
              <w:t>(g)</w:t>
            </w:r>
          </w:p>
        </w:tc>
        <w:tc>
          <w:tcPr>
            <w:tcW w:w="9890" w:type="dxa"/>
            <w:tcBorders/>
            <w:vAlign w:val="center"/>
          </w:tcPr>
          <w:p>
            <w:pPr>
              <w:pStyle w:val="TableContents"/>
              <w:bidi w:val="0"/>
              <w:spacing w:before="0" w:after="283"/>
              <w:jc w:val="both"/>
              <w:rPr/>
            </w:pPr>
            <w:r>
              <w:rPr/>
              <w:t>Pro forma adjustments to controlling interests and noncontrolling interests in shareholders’ equity are reflected as follows.</w:t>
            </w:r>
          </w:p>
        </w:tc>
      </w:tr>
    </w:tbl>
    <w:p>
      <w:pPr>
        <w:pStyle w:val="TextBody"/>
        <w:bidi w:val="0"/>
        <w:spacing w:before="0" w:after="0"/>
        <w:ind w:left="0" w:right="0" w:hanging="0"/>
        <w:jc w:val="left"/>
        <w:rPr>
          <w:caps w:val="false"/>
          <w:smallCaps w:val="false"/>
        </w:rPr>
      </w:pPr>
      <w:r>
        <w:rPr>
          <w:caps w:val="false"/>
          <w:smallCaps w:val="false"/>
        </w:rPr>
        <w:t> </w:t>
      </w:r>
    </w:p>
    <w:tbl>
      <w:tblPr>
        <w:tblW w:w="8495" w:type="dxa"/>
        <w:jc w:val="left"/>
        <w:tblInd w:w="0" w:type="dxa"/>
        <w:tblLayout w:type="fixed"/>
        <w:tblCellMar>
          <w:top w:w="0" w:type="dxa"/>
          <w:left w:w="0" w:type="dxa"/>
          <w:bottom w:w="28" w:type="dxa"/>
          <w:right w:w="0" w:type="dxa"/>
        </w:tblCellMar>
      </w:tblPr>
      <w:tblGrid>
        <w:gridCol w:w="7565"/>
        <w:gridCol w:w="60"/>
        <w:gridCol w:w="125"/>
        <w:gridCol w:w="650"/>
        <w:gridCol w:w="95"/>
      </w:tblGrid>
      <w:tr>
        <w:trPr/>
        <w:tc>
          <w:tcPr>
            <w:tcW w:w="7565" w:type="dxa"/>
            <w:tcBorders>
              <w:bottom w:val="single" w:sz="8" w:space="0" w:color="000000"/>
            </w:tcBorders>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 millions)</w:t>
            </w:r>
          </w:p>
        </w:tc>
        <w:tc>
          <w:tcPr>
            <w:tcW w:w="60" w:type="dxa"/>
            <w:tcBorders/>
            <w:tcMar>
              <w:bottom w:w="0" w:type="dxa"/>
            </w:tcMar>
            <w:vAlign w:val="center"/>
          </w:tcPr>
          <w:p>
            <w:pPr>
              <w:pStyle w:val="TableContents"/>
              <w:bidi w:val="0"/>
              <w:spacing w:before="0" w:after="283"/>
              <w:jc w:val="left"/>
              <w:rPr/>
            </w:pPr>
            <w:r>
              <w:rPr/>
              <w:t> </w:t>
            </w:r>
          </w:p>
        </w:tc>
        <w:tc>
          <w:tcPr>
            <w:tcW w:w="775" w:type="dxa"/>
            <w:gridSpan w:val="2"/>
            <w:tcBorders/>
            <w:tcMar>
              <w:bottom w:w="0" w:type="dxa"/>
            </w:tcMar>
            <w:vAlign w:val="center"/>
          </w:tcPr>
          <w:p>
            <w:pPr>
              <w:pStyle w:val="TableContents"/>
              <w:bidi w:val="0"/>
              <w:spacing w:before="0" w:after="283"/>
              <w:jc w:val="left"/>
              <w:rPr/>
            </w:pPr>
            <w:r>
              <w:rPr/>
              <w:t> </w:t>
            </w:r>
          </w:p>
        </w:tc>
        <w:tc>
          <w:tcPr>
            <w:tcW w:w="95" w:type="dxa"/>
            <w:tcBorders/>
            <w:tcMar>
              <w:bottom w:w="0" w:type="dxa"/>
            </w:tcMar>
            <w:vAlign w:val="center"/>
          </w:tcPr>
          <w:p>
            <w:pPr>
              <w:pStyle w:val="TableContents"/>
              <w:bidi w:val="0"/>
              <w:spacing w:before="0" w:after="283"/>
              <w:jc w:val="left"/>
              <w:rPr/>
            </w:pPr>
            <w:r>
              <w:rPr/>
              <w:t> </w:t>
            </w:r>
          </w:p>
        </w:tc>
      </w:tr>
      <w:tr>
        <w:trPr/>
        <w:tc>
          <w:tcPr>
            <w:tcW w:w="7565" w:type="dxa"/>
            <w:tcBorders/>
            <w:shd w:fill="CCEE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Controlling Interests: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650"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r>
      <w:tr>
        <w:trPr/>
        <w:tc>
          <w:tcPr>
            <w:tcW w:w="756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Elimination of Cox Communications’ historical equity</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(11,479</w:t>
            </w:r>
          </w:p>
        </w:tc>
        <w:tc>
          <w:tcPr>
            <w:tcW w:w="9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565"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of remaining transaction costs including advisor fees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(142</w:t>
            </w:r>
          </w:p>
        </w:tc>
        <w:tc>
          <w:tcPr>
            <w:tcW w:w="9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56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Relative ownership adjustment of Charter Holdings’ common unit equity balances, net of tax</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(2,835</w:t>
            </w:r>
          </w:p>
        </w:tc>
        <w:tc>
          <w:tcPr>
            <w:tcW w:w="9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56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0"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(14,456</w:t>
            </w:r>
          </w:p>
        </w:tc>
        <w:tc>
          <w:tcPr>
            <w:tcW w:w="9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56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650"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r>
      <w:tr>
        <w:trPr/>
        <w:tc>
          <w:tcPr>
            <w:tcW w:w="7565" w:type="dxa"/>
            <w:tcBorders/>
            <w:shd w:fill="CCEE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Noncontrolling Interests: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650"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r>
      <w:tr>
        <w:trPr/>
        <w:tc>
          <w:tcPr>
            <w:tcW w:w="756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Fair value of the Charter Holdings common units issued to Cox Enterprises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4,776</w:t>
            </w:r>
          </w:p>
        </w:tc>
        <w:tc>
          <w:tcPr>
            <w:tcW w:w="9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65"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Fair value of the Charter Holdings convertible preferred units issued to Cox Enterprises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5,378</w:t>
            </w:r>
          </w:p>
        </w:tc>
        <w:tc>
          <w:tcPr>
            <w:tcW w:w="9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6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Relative ownership adjustment of Charter Holdings’ common unit equity balances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3,780</w:t>
            </w:r>
          </w:p>
        </w:tc>
        <w:tc>
          <w:tcPr>
            <w:tcW w:w="9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6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0"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13,934</w:t>
            </w:r>
          </w:p>
        </w:tc>
        <w:tc>
          <w:tcPr>
            <w:tcW w:w="9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Charter Holdings common units issued to Cox Enterprises as a portion of the consideration for the Contribution initially are measured at their fair value of $4.8 billion in accordance with acquisition accounting. However, upon new partner entry to Charter Holdings, the carrying amounts of the common units of the controlling interest (Charter) and noncontrolling interests (Cox Enterprises and A/N) are adjusted to reflect their relative effective common ownership interest in Charter Holdings. Relative ownership adjustment results in an increase to noncontrolling interests of approximately $3.8 billion and a corresponding decrease to additional paid-in capital of $3.8 billion, net of a $945 million reduction in deferred income taxes, for Charter’s decrease in book basis in Charter Holdings.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2. Cox Transactions Pro Forma Statement of Operations Adjustments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summarizes the pro forma statement of operations adjustments relating to the Cox Transactions.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0"/>
        <w:gridCol w:w="9958"/>
      </w:tblGrid>
      <w:tr>
        <w:trPr/>
        <w:tc>
          <w:tcPr>
            <w:tcW w:w="37"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pPr>
            <w:r>
              <w:rPr/>
              <w:t>(a)</w:t>
            </w:r>
          </w:p>
        </w:tc>
        <w:tc>
          <w:tcPr>
            <w:tcW w:w="9958" w:type="dxa"/>
            <w:tcBorders/>
            <w:vAlign w:val="center"/>
          </w:tcPr>
          <w:p>
            <w:pPr>
              <w:pStyle w:val="TableContents"/>
              <w:bidi w:val="0"/>
              <w:spacing w:before="0" w:after="283"/>
              <w:jc w:val="both"/>
              <w:rPr/>
            </w:pPr>
            <w:r>
              <w:rPr/>
              <w:t>Proforma adjustments to revenues of $13 million and $54 million for the three months ended March 31, 2026 and year ended December 31, 2025, respectively, represent reclassifications of customer revenues treated as contra-expense in Cox Communications historical financials in order to conform to Charter’s financial statement presentation including i) cash collected from customers to recover collection costs reclassed from operating costs and expenses, ii) cash collected from customers for unreturned equipment fees reclassed from other operating expenses, net, and iii) real estate sublease income reclassed from other expenses, net.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4"/>
        <w:gridCol w:w="9944"/>
      </w:tblGrid>
      <w:tr>
        <w:trPr/>
        <w:tc>
          <w:tcPr>
            <w:tcW w:w="37"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pPr>
            <w:r>
              <w:rPr/>
              <w:t>(b)</w:t>
            </w:r>
          </w:p>
        </w:tc>
        <w:tc>
          <w:tcPr>
            <w:tcW w:w="9944" w:type="dxa"/>
            <w:tcBorders/>
            <w:vAlign w:val="center"/>
          </w:tcPr>
          <w:p>
            <w:pPr>
              <w:pStyle w:val="TableContents"/>
              <w:bidi w:val="0"/>
              <w:spacing w:before="0" w:after="283"/>
              <w:jc w:val="both"/>
              <w:rPr/>
            </w:pPr>
            <w:r>
              <w:rPr/>
              <w:t>Pro forma adjustments to operating costs and expenses of $52 million and $222 million for the three months ended March 31, 2026 and year ended December 31, 2025, respectively, represents costs related to excluded parent company obligations and intercompany cost allocations from Cox Enterprises that are to be terminated by Cox Communications at the closing in connection with the Transaction Agreement. Following the closing, these costs will not be incurred by Charter. Pro forma adjustments to operating costs and expenses also includes the reclassification of customer revenues treated as contra-expense in Cox Communications historical financials in order to conform to Charter’s financial statement presentation. See Note 2(a).</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0"/>
        <w:gridCol w:w="9928"/>
      </w:tblGrid>
      <w:tr>
        <w:trPr/>
        <w:tc>
          <w:tcPr>
            <w:tcW w:w="37"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pPr>
            <w:r>
              <w:rPr/>
              <w:t>(c)</w:t>
            </w:r>
          </w:p>
        </w:tc>
        <w:tc>
          <w:tcPr>
            <w:tcW w:w="9928" w:type="dxa"/>
            <w:tcBorders/>
            <w:vAlign w:val="center"/>
          </w:tcPr>
          <w:p>
            <w:pPr>
              <w:pStyle w:val="TableContents"/>
              <w:bidi w:val="0"/>
              <w:spacing w:before="0" w:after="283"/>
              <w:jc w:val="both"/>
              <w:rPr/>
            </w:pPr>
            <w:r>
              <w:rPr/>
              <w:t>Depreciation and amortization increased by $114 million and $505 million for the three months ended March 31, 2026 and year ended December 31, 2025, respectively, as follows.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229"/>
        <w:gridCol w:w="60"/>
        <w:gridCol w:w="302"/>
        <w:gridCol w:w="813"/>
        <w:gridCol w:w="87"/>
        <w:gridCol w:w="87"/>
        <w:gridCol w:w="315"/>
        <w:gridCol w:w="845"/>
        <w:gridCol w:w="87"/>
        <w:gridCol w:w="87"/>
        <w:gridCol w:w="181"/>
        <w:gridCol w:w="575"/>
        <w:gridCol w:w="80"/>
        <w:gridCol w:w="60"/>
        <w:gridCol w:w="228"/>
        <w:gridCol w:w="887"/>
        <w:gridCol w:w="72"/>
        <w:gridCol w:w="72"/>
        <w:gridCol w:w="315"/>
        <w:gridCol w:w="845"/>
        <w:gridCol w:w="72"/>
        <w:gridCol w:w="150"/>
        <w:gridCol w:w="657"/>
        <w:gridCol w:w="99"/>
      </w:tblGrid>
      <w:tr>
        <w:trPr/>
        <w:tc>
          <w:tcPr>
            <w:tcW w:w="3229"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379"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 March 31, 2026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298" w:type="dxa"/>
            <w:gridSpan w:val="9"/>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Year Ended December 31, 2025</w:t>
            </w:r>
          </w:p>
        </w:tc>
        <w:tc>
          <w:tcPr>
            <w:tcW w:w="99"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229" w:type="dxa"/>
            <w:tcBorders/>
            <w:vAlign w:val="center"/>
          </w:tcPr>
          <w:p>
            <w:pPr>
              <w:pStyle w:val="TableContents"/>
              <w:bidi w:val="0"/>
              <w:spacing w:before="0" w:after="283"/>
              <w:jc w:val="left"/>
              <w:rPr>
                <w:b/>
                <w:i/>
                <w:sz w:val="20"/>
              </w:rPr>
            </w:pPr>
            <w:r>
              <w:rPr>
                <w:b/>
                <w:i/>
                <w:sz w:val="20"/>
              </w:rPr>
              <w:t>(in millions)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Depreciation</w:t>
            </w:r>
          </w:p>
        </w:tc>
        <w:tc>
          <w:tcPr>
            <w:tcW w:w="87" w:type="dxa"/>
            <w:tcBorders/>
            <w:vAlign w:val="center"/>
          </w:tcPr>
          <w:p>
            <w:pPr>
              <w:pStyle w:val="TableContents"/>
              <w:bidi w:val="0"/>
              <w:spacing w:before="0" w:after="283"/>
              <w:jc w:val="left"/>
              <w:rPr>
                <w:caps w:val="false"/>
                <w:smallCaps w:val="false"/>
              </w:rPr>
            </w:pPr>
            <w:r>
              <w:rPr>
                <w:caps w:val="false"/>
                <w:smallCaps w:val="false"/>
              </w:rPr>
              <w:t> </w:t>
            </w:r>
          </w:p>
        </w:tc>
        <w:tc>
          <w:tcPr>
            <w:tcW w:w="87" w:type="dxa"/>
            <w:tcBorders/>
            <w:vAlign w:val="center"/>
          </w:tcPr>
          <w:p>
            <w:pPr>
              <w:pStyle w:val="TableContents"/>
              <w:bidi w:val="0"/>
              <w:spacing w:before="0" w:after="283"/>
              <w:jc w:val="left"/>
              <w:rPr>
                <w:caps w:val="false"/>
                <w:smallCaps w:val="false"/>
              </w:rPr>
            </w:pPr>
            <w:r>
              <w:rPr>
                <w:caps w:val="false"/>
                <w:smallCaps w:val="false"/>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Amortization</w:t>
            </w:r>
          </w:p>
        </w:tc>
        <w:tc>
          <w:tcPr>
            <w:tcW w:w="87" w:type="dxa"/>
            <w:tcBorders/>
            <w:vAlign w:val="center"/>
          </w:tcPr>
          <w:p>
            <w:pPr>
              <w:pStyle w:val="TableContents"/>
              <w:bidi w:val="0"/>
              <w:spacing w:before="0" w:after="283"/>
              <w:jc w:val="left"/>
              <w:rPr>
                <w:caps w:val="false"/>
                <w:smallCaps w:val="false"/>
              </w:rPr>
            </w:pPr>
            <w:r>
              <w:rPr>
                <w:caps w:val="false"/>
                <w:smallCaps w:val="false"/>
              </w:rPr>
              <w:t> </w:t>
            </w:r>
          </w:p>
        </w:tc>
        <w:tc>
          <w:tcPr>
            <w:tcW w:w="87" w:type="dxa"/>
            <w:tcBorders/>
            <w:vAlign w:val="center"/>
          </w:tcPr>
          <w:p>
            <w:pPr>
              <w:pStyle w:val="TableContents"/>
              <w:bidi w:val="0"/>
              <w:spacing w:before="0" w:after="283"/>
              <w:jc w:val="left"/>
              <w:rPr>
                <w:caps w:val="false"/>
                <w:smallCaps w:val="false"/>
              </w:rPr>
            </w:pPr>
            <w:r>
              <w:rPr>
                <w:caps w:val="false"/>
                <w:smallCaps w:val="false"/>
              </w:rPr>
              <w:t> </w:t>
            </w:r>
          </w:p>
        </w:tc>
        <w:tc>
          <w:tcPr>
            <w:tcW w:w="756"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Depreciation</w:t>
            </w:r>
          </w:p>
        </w:tc>
        <w:tc>
          <w:tcPr>
            <w:tcW w:w="72" w:type="dxa"/>
            <w:tcBorders/>
            <w:vAlign w:val="center"/>
          </w:tcPr>
          <w:p>
            <w:pPr>
              <w:pStyle w:val="TableContents"/>
              <w:bidi w:val="0"/>
              <w:spacing w:before="0" w:after="283"/>
              <w:jc w:val="left"/>
              <w:rPr>
                <w:caps w:val="false"/>
                <w:smallCaps w:val="false"/>
              </w:rPr>
            </w:pPr>
            <w:r>
              <w:rPr>
                <w:caps w:val="false"/>
                <w:smallCaps w:val="false"/>
              </w:rPr>
              <w:t> </w:t>
            </w:r>
          </w:p>
        </w:tc>
        <w:tc>
          <w:tcPr>
            <w:tcW w:w="72" w:type="dxa"/>
            <w:tcBorders/>
            <w:vAlign w:val="center"/>
          </w:tcPr>
          <w:p>
            <w:pPr>
              <w:pStyle w:val="TableContents"/>
              <w:bidi w:val="0"/>
              <w:spacing w:before="0" w:after="283"/>
              <w:jc w:val="left"/>
              <w:rPr>
                <w:caps w:val="false"/>
                <w:smallCaps w:val="false"/>
              </w:rPr>
            </w:pPr>
            <w:r>
              <w:rPr>
                <w:caps w:val="false"/>
                <w:smallCaps w:val="false"/>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Amortization</w:t>
            </w:r>
          </w:p>
        </w:tc>
        <w:tc>
          <w:tcPr>
            <w:tcW w:w="72" w:type="dxa"/>
            <w:tcBorders/>
            <w:vAlign w:val="center"/>
          </w:tcPr>
          <w:p>
            <w:pPr>
              <w:pStyle w:val="TableContents"/>
              <w:bidi w:val="0"/>
              <w:spacing w:before="0" w:after="283"/>
              <w:jc w:val="left"/>
              <w:rPr>
                <w:caps w:val="false"/>
                <w:smallCaps w:val="false"/>
              </w:rPr>
            </w:pPr>
            <w:r>
              <w:rPr>
                <w:caps w:val="false"/>
                <w:smallCaps w:val="false"/>
              </w:rPr>
              <w:t> </w:t>
            </w:r>
          </w:p>
        </w:tc>
        <w:tc>
          <w:tcPr>
            <w:tcW w:w="80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tc>
        <w:tc>
          <w:tcPr>
            <w:tcW w:w="99"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22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Communications pro forma expense based on fair value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0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1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516</w:t>
            </w:r>
          </w:p>
        </w:tc>
        <w:tc>
          <w:tcPr>
            <w:tcW w:w="8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136</w:t>
            </w:r>
          </w:p>
        </w:tc>
        <w:tc>
          <w:tcPr>
            <w:tcW w:w="8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7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8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2,063</w:t>
            </w:r>
          </w:p>
        </w:tc>
        <w:tc>
          <w:tcPr>
            <w:tcW w:w="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600</w:t>
            </w:r>
          </w:p>
        </w:tc>
        <w:tc>
          <w:tcPr>
            <w:tcW w:w="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2,663</w:t>
            </w:r>
          </w:p>
        </w:tc>
        <w:tc>
          <w:tcPr>
            <w:tcW w:w="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22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Communications historical expense</w:t>
            </w:r>
          </w:p>
        </w:tc>
        <w:tc>
          <w:tcPr>
            <w:tcW w:w="60" w:type="dxa"/>
            <w:tcBorders/>
            <w:shd w:fill="FFFFFF" w:val="clear"/>
            <w:vAlign w:val="center"/>
          </w:tcPr>
          <w:p>
            <w:pPr>
              <w:pStyle w:val="TableContents"/>
              <w:bidi w:val="0"/>
              <w:spacing w:before="0" w:after="283"/>
              <w:jc w:val="left"/>
              <w:rPr/>
            </w:pPr>
            <w:r>
              <w:rPr/>
              <w:t> </w:t>
            </w:r>
          </w:p>
        </w:tc>
        <w:tc>
          <w:tcPr>
            <w:tcW w:w="302" w:type="dxa"/>
            <w:tcBorders/>
            <w:shd w:fill="FFFFFF" w:val="clear"/>
            <w:vAlign w:val="center"/>
          </w:tcPr>
          <w:p>
            <w:pPr>
              <w:pStyle w:val="TableContents"/>
              <w:bidi w:val="0"/>
              <w:spacing w:before="0" w:after="283"/>
              <w:jc w:val="left"/>
              <w:rPr/>
            </w:pPr>
            <w:r>
              <w:rPr/>
              <w:t> </w:t>
            </w:r>
          </w:p>
        </w:tc>
        <w:tc>
          <w:tcPr>
            <w:tcW w:w="813" w:type="dxa"/>
            <w:tcBorders/>
            <w:shd w:fill="FFFFFF" w:val="clear"/>
            <w:vAlign w:val="center"/>
          </w:tcPr>
          <w:p>
            <w:pPr>
              <w:pStyle w:val="TableContents"/>
              <w:bidi w:val="0"/>
              <w:spacing w:before="0" w:after="283"/>
              <w:jc w:val="right"/>
              <w:rPr/>
            </w:pPr>
            <w:r>
              <w:rPr/>
              <w:t> </w:t>
            </w:r>
          </w:p>
        </w:tc>
        <w:tc>
          <w:tcPr>
            <w:tcW w:w="87"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31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87"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7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(538</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887" w:type="dxa"/>
            <w:tcBorders/>
            <w:shd w:fill="FFFFFF" w:val="clear"/>
            <w:vAlign w:val="center"/>
          </w:tcPr>
          <w:p>
            <w:pPr>
              <w:pStyle w:val="TableContents"/>
              <w:bidi w:val="0"/>
              <w:spacing w:before="0" w:after="283"/>
              <w:jc w:val="right"/>
              <w:rPr/>
            </w:pPr>
            <w:r>
              <w:rPr/>
              <w:t> </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31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72" w:type="dxa"/>
            <w:tcBorders/>
            <w:shd w:fill="FFFFFF" w:val="clear"/>
            <w:vAlign w:val="center"/>
          </w:tcPr>
          <w:p>
            <w:pPr>
              <w:pStyle w:val="TableContents"/>
              <w:bidi w:val="0"/>
              <w:spacing w:before="0" w:after="283"/>
              <w:jc w:val="left"/>
              <w:rPr/>
            </w:pPr>
            <w:r>
              <w:rPr/>
              <w:t> </w:t>
            </w:r>
          </w:p>
        </w:tc>
        <w:tc>
          <w:tcPr>
            <w:tcW w:w="15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(2,158</w:t>
            </w:r>
          </w:p>
        </w:tc>
        <w:tc>
          <w:tcPr>
            <w:tcW w:w="9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22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2" w:type="dxa"/>
            <w:tcBorders/>
            <w:shd w:fill="CCEEFF" w:val="clear"/>
            <w:vAlign w:val="center"/>
          </w:tcPr>
          <w:p>
            <w:pPr>
              <w:pStyle w:val="TableContents"/>
              <w:bidi w:val="0"/>
              <w:spacing w:before="0" w:after="283"/>
              <w:jc w:val="left"/>
              <w:rPr/>
            </w:pPr>
            <w:r>
              <w:rPr/>
              <w:t> </w:t>
            </w:r>
          </w:p>
        </w:tc>
        <w:tc>
          <w:tcPr>
            <w:tcW w:w="813" w:type="dxa"/>
            <w:tcBorders/>
            <w:shd w:fill="CCEEFF" w:val="clear"/>
            <w:vAlign w:val="center"/>
          </w:tcPr>
          <w:p>
            <w:pPr>
              <w:pStyle w:val="TableContents"/>
              <w:bidi w:val="0"/>
              <w:spacing w:before="0" w:after="283"/>
              <w:jc w:val="right"/>
              <w:rPr/>
            </w:pPr>
            <w:r>
              <w:rPr/>
              <w:t> </w:t>
            </w:r>
          </w:p>
        </w:tc>
        <w:tc>
          <w:tcPr>
            <w:tcW w:w="87"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31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87"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1"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7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887" w:type="dxa"/>
            <w:tcBorders/>
            <w:shd w:fill="CCEEFF" w:val="clear"/>
            <w:vAlign w:val="center"/>
          </w:tcPr>
          <w:p>
            <w:pPr>
              <w:pStyle w:val="TableContents"/>
              <w:bidi w:val="0"/>
              <w:spacing w:before="0" w:after="283"/>
              <w:jc w:val="right"/>
              <w:rPr/>
            </w:pPr>
            <w:r>
              <w:rPr/>
              <w:t> </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31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72" w:type="dxa"/>
            <w:tcBorders/>
            <w:shd w:fill="CCEEFF" w:val="clear"/>
            <w:vAlign w:val="center"/>
          </w:tcPr>
          <w:p>
            <w:pPr>
              <w:pStyle w:val="TableContents"/>
              <w:bidi w:val="0"/>
              <w:spacing w:before="0" w:after="283"/>
              <w:jc w:val="left"/>
              <w:rPr/>
            </w:pPr>
            <w:r>
              <w:rPr/>
              <w:t> </w:t>
            </w:r>
          </w:p>
        </w:tc>
        <w:tc>
          <w:tcPr>
            <w:tcW w:w="15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7"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505</w:t>
            </w:r>
          </w:p>
        </w:tc>
        <w:tc>
          <w:tcPr>
            <w:tcW w:w="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increase was estimated using a preliminary average remaining useful life of 8 years for property, plant and equipment and 11 years for customer relationships. Property, plant and equipment are depreciated using a straight-line depreciation method. Customer relationships are amortized using an accelerated method (sum of the years’ digits) to reflect the period over which the relationships are expected to generate cash flows. Following the acquisition, Cox Communications’ pro forma customer relationships of $3.6 billion would result in amortization expense under the accelerated method of $600 million for year 1, $545 million for year 2, $491 million for year 3, $436 million for year 4, $382 million for year 5 and $1.1 billion thereafter. The effect of a one-year decrease in the weighted average useful lives of property, plant and equipment and customer relationships would be an increase to depreciation and amortization expense of approximately $85 million and $349 million for the three months ended March 31, 2026 and year ended December 31, 2025, respectively, while the effect of a one-year increase would result in a decrease of approximately $67 million and $275 million for the three months ended March 31, 2026 and year ended December 31, 2025, respectively. The pro forma adjustments are based on current estimates and may not reflect actual depreciation and amortization once the purchase price allocation is finalized and final determination of remaining useful lives are made.</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2"/>
        <w:gridCol w:w="9946"/>
      </w:tblGrid>
      <w:tr>
        <w:trPr/>
        <w:tc>
          <w:tcPr>
            <w:tcW w:w="37"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pPr>
            <w:r>
              <w:rPr/>
              <w:t>(d)</w:t>
            </w:r>
          </w:p>
        </w:tc>
        <w:tc>
          <w:tcPr>
            <w:tcW w:w="9946" w:type="dxa"/>
            <w:tcBorders/>
            <w:vAlign w:val="center"/>
          </w:tcPr>
          <w:p>
            <w:pPr>
              <w:pStyle w:val="TableContents"/>
              <w:bidi w:val="0"/>
              <w:spacing w:before="0" w:after="283"/>
              <w:jc w:val="both"/>
              <w:rPr/>
            </w:pPr>
            <w:r>
              <w:rPr/>
              <w:t>Pro forma adjustment to increase other operating expenses, net by $153 million for the year ended December 31, 2025 primarily represents the payment of remaining transaction costs not already reflected in the historical financial statements including advisor fees and other expenses directly related to the Cox Transactions. Transaction costs of $15 million and $128 million are included in the historical income statement of Charter within other operating expenses, net for the three months ended March 31, 2026 and year ended December 31, 2025, respectively. Pro forma adjustments to other operating expenses, net for the three months ended March 31, 2026 and year ended December 31, 2025 also includes the reclassification of customer revenues treated as contra-expense in Cox Communications historical financials in order to conform to Charter’s financial statement presentation. See Note 2(a).</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3"/>
        <w:gridCol w:w="9925"/>
      </w:tblGrid>
      <w:tr>
        <w:trPr/>
        <w:tc>
          <w:tcPr>
            <w:tcW w:w="37"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pPr>
            <w:r>
              <w:rPr/>
              <w:t>(e)</w:t>
            </w:r>
          </w:p>
        </w:tc>
        <w:tc>
          <w:tcPr>
            <w:tcW w:w="9925" w:type="dxa"/>
            <w:tcBorders/>
            <w:vAlign w:val="center"/>
          </w:tcPr>
          <w:p>
            <w:pPr>
              <w:pStyle w:val="TableContents"/>
              <w:bidi w:val="0"/>
              <w:spacing w:before="0" w:after="283"/>
              <w:jc w:val="both"/>
              <w:rPr/>
            </w:pPr>
            <w:r>
              <w:rPr/>
              <w:t>Interest expense, net increased by $137 million and $568 million for the three months ended March 31, 2026 and year ended December 31, 2025, respectively, as follows.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49"/>
        <w:gridCol w:w="60"/>
        <w:gridCol w:w="370"/>
        <w:gridCol w:w="1176"/>
        <w:gridCol w:w="80"/>
        <w:gridCol w:w="60"/>
        <w:gridCol w:w="363"/>
        <w:gridCol w:w="1150"/>
        <w:gridCol w:w="97"/>
      </w:tblGrid>
      <w:tr>
        <w:trPr/>
        <w:tc>
          <w:tcPr>
            <w:tcW w:w="6849" w:type="dxa"/>
            <w:tcBorders/>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 millions)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46"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w:t>
              <w:br/>
              <w:t>March 31, 2026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13"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Year Ended </w:t>
              <w:br/>
              <w:t>December 31, 2025</w:t>
            </w:r>
          </w:p>
        </w:tc>
        <w:tc>
          <w:tcPr>
            <w:tcW w:w="97"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84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interest expense on new debt issued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7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6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(270</w:t>
            </w:r>
          </w:p>
        </w:tc>
        <w:tc>
          <w:tcPr>
            <w:tcW w:w="9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84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Elimination of intercompany note interest income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7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(188</w:t>
            </w:r>
          </w:p>
        </w:tc>
        <w:tc>
          <w:tcPr>
            <w:tcW w:w="9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84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Amortization of discount as a result of adjusting assumed Cox Communications’ long-term debt to fair value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7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(118</w:t>
            </w:r>
          </w:p>
        </w:tc>
        <w:tc>
          <w:tcPr>
            <w:tcW w:w="9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84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Amortization of new debt issuance costs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7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84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Elimination of amortization related to Cox Communications’ debt discounts and debt issuance costs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7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7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6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84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7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76"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(137</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63"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5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(568</w:t>
            </w:r>
          </w:p>
        </w:tc>
        <w:tc>
          <w:tcPr>
            <w:tcW w:w="9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1"/>
        <w:gridCol w:w="9987"/>
      </w:tblGrid>
      <w:tr>
        <w:trPr/>
        <w:tc>
          <w:tcPr>
            <w:tcW w:w="37"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pPr>
            <w:r>
              <w:rPr/>
              <w:t>(f)</w:t>
            </w:r>
          </w:p>
        </w:tc>
        <w:tc>
          <w:tcPr>
            <w:tcW w:w="9987" w:type="dxa"/>
            <w:tcBorders/>
            <w:vAlign w:val="center"/>
          </w:tcPr>
          <w:p>
            <w:pPr>
              <w:pStyle w:val="TableContents"/>
              <w:bidi w:val="0"/>
              <w:spacing w:before="0" w:after="283"/>
              <w:jc w:val="both"/>
              <w:rPr/>
            </w:pPr>
            <w:r>
              <w:rPr/>
              <w:t>Pro forma adjustment to increase other expenses, net by $17 million and $30 million for the three months ended March 31, 2026 and year ended December 31, 2025, respectively, primarily represents the elimination of the Cox Enterprises allocated non-service component of pension benefit. Following the closing, these pension benefits will not be incurred by Charter. Pro forma adjustments to other expenses, net also includes the reclassification of customer revenues treated as contra-expense in Cox Communications historical financials in order to conform to Charter’s financial statement presentation. See Note 2(a).</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1"/>
        <w:gridCol w:w="9937"/>
      </w:tblGrid>
      <w:tr>
        <w:trPr/>
        <w:tc>
          <w:tcPr>
            <w:tcW w:w="37"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pPr>
            <w:r>
              <w:rPr/>
              <w:t>(g)</w:t>
            </w:r>
          </w:p>
        </w:tc>
        <w:tc>
          <w:tcPr>
            <w:tcW w:w="9937" w:type="dxa"/>
            <w:tcBorders/>
            <w:vAlign w:val="center"/>
          </w:tcPr>
          <w:p>
            <w:pPr>
              <w:pStyle w:val="TableContents"/>
              <w:bidi w:val="0"/>
              <w:spacing w:before="0" w:after="283"/>
              <w:jc w:val="both"/>
              <w:rPr/>
            </w:pPr>
            <w:r>
              <w:rPr/>
              <w:t>The pro forma adjustment to income tax expense of $159 million and $425 million for the three months ended March 31, 2026 and year ended December 31, 2025, respectively, was determined by removing Cox Communications’ income tax expense and applying an estimated Charter tax rate of 25% to pro forma income before taxes allocated to Charter after the allocation of profits to the noncontrolling interest holders.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6"/>
        <w:gridCol w:w="9932"/>
      </w:tblGrid>
      <w:tr>
        <w:trPr/>
        <w:tc>
          <w:tcPr>
            <w:tcW w:w="37"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pPr>
            <w:r>
              <w:rPr/>
              <w:t>(h)</w:t>
            </w:r>
          </w:p>
        </w:tc>
        <w:tc>
          <w:tcPr>
            <w:tcW w:w="9932" w:type="dxa"/>
            <w:tcBorders/>
            <w:vAlign w:val="center"/>
          </w:tcPr>
          <w:p>
            <w:pPr>
              <w:pStyle w:val="TableContents"/>
              <w:bidi w:val="0"/>
              <w:spacing w:before="0" w:after="283"/>
              <w:jc w:val="both"/>
              <w:rPr/>
            </w:pPr>
            <w:r>
              <w:rPr/>
              <w:t>Net income attributable to noncontrolling interest increased by $520 million and $388 million for the three months ended March 31, 2026 and year ended December 31, 2025, respectively, as shown in the following table. All ownership amounts are calculated using whole numbers; minor differences may exist due to rounding.</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008"/>
        <w:gridCol w:w="60"/>
        <w:gridCol w:w="267"/>
        <w:gridCol w:w="1042"/>
        <w:gridCol w:w="185"/>
        <w:gridCol w:w="60"/>
        <w:gridCol w:w="281"/>
        <w:gridCol w:w="1099"/>
        <w:gridCol w:w="203"/>
      </w:tblGrid>
      <w:tr>
        <w:trPr/>
        <w:tc>
          <w:tcPr>
            <w:tcW w:w="7008" w:type="dxa"/>
            <w:tcBorders/>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 millions)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0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Three Months Ended </w:t>
              <w:br/>
              <w:t>March 31, 2026</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8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Year Ended </w:t>
              <w:br/>
              <w:t>December 31, 2025</w:t>
            </w:r>
          </w:p>
        </w:tc>
        <w:tc>
          <w:tcPr>
            <w:tcW w:w="203"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00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Charter Holdings pro forma income before income taxes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4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2,263</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8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9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3,058</w:t>
            </w:r>
          </w:p>
        </w:tc>
        <w:tc>
          <w:tcPr>
            <w:tcW w:w="20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00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Charter Holdings 6.875% cash dividend to Cox Enterprises preferred unit holders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4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8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9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(413</w:t>
            </w:r>
          </w:p>
        </w:tc>
        <w:tc>
          <w:tcPr>
            <w:tcW w:w="20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00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Charter Holdings pro forma income before income taxes available for allocation to common unit holders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4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2,160</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8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9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2,645</w:t>
            </w:r>
          </w:p>
        </w:tc>
        <w:tc>
          <w:tcPr>
            <w:tcW w:w="20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00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Noncontrolling interest in Charter Holdings excluding preferred units based on pro forma common unit ownership of Charter Holdings (19.5% Cox Enterprises and 9.0% A/N)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4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28.5</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8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9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28.5</w:t>
            </w:r>
          </w:p>
        </w:tc>
        <w:tc>
          <w:tcPr>
            <w:tcW w:w="20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00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Noncontrolling interest expense - Charter Holdings common units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4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617</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8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9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754</w:t>
            </w:r>
          </w:p>
        </w:tc>
        <w:tc>
          <w:tcPr>
            <w:tcW w:w="20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00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Noncontrolling interest expense - Charter Holdings convertible preferred units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8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9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413</w:t>
            </w:r>
          </w:p>
        </w:tc>
        <w:tc>
          <w:tcPr>
            <w:tcW w:w="20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00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Eliminate historical noncontrolling interest expense recorded based on historical A/N common unit ownership of Charter Holdings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4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(200</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8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9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(779</w:t>
            </w:r>
          </w:p>
        </w:tc>
        <w:tc>
          <w:tcPr>
            <w:tcW w:w="20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00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7"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4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520</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81"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9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388</w:t>
            </w:r>
          </w:p>
        </w:tc>
        <w:tc>
          <w:tcPr>
            <w:tcW w:w="20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67"/>
        <w:gridCol w:w="10001"/>
      </w:tblGrid>
      <w:tr>
        <w:trPr/>
        <w:tc>
          <w:tcPr>
            <w:tcW w:w="3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pPr>
            <w:r>
              <w:rPr/>
              <w:t>(i)</w:t>
            </w:r>
          </w:p>
        </w:tc>
        <w:tc>
          <w:tcPr>
            <w:tcW w:w="10001" w:type="dxa"/>
            <w:tcBorders/>
            <w:vAlign w:val="center"/>
          </w:tcPr>
          <w:p>
            <w:pPr>
              <w:pStyle w:val="TableContents"/>
              <w:bidi w:val="0"/>
              <w:spacing w:before="0" w:after="283"/>
              <w:jc w:val="both"/>
              <w:rPr/>
            </w:pPr>
            <w:r>
              <w:rPr/>
              <w:t>The following table sets forth the computation of pro forma basic and diluted earnings per share for the three months ended March 31, 2026 and year ended December 31, 2025. Not included in the computation of pro forma diluted earnings per share because the effect would be anti-dilutive are the 33.6 million Charter Holdings common units and the 12.6 billion equivalent common units for the Charter Holdings convertible preferred units ($6.0 billion par value divided by $477.41 initial conversion price) issued to Cox Enterprises on an if-converted, if-exchanged basis.</w:t>
            </w:r>
          </w:p>
        </w:tc>
      </w:tr>
    </w:tbl>
    <w:p>
      <w:pPr>
        <w:pStyle w:val="TextBody"/>
        <w:bidi w:val="0"/>
        <w:spacing w:before="0" w:after="0"/>
        <w:ind w:left="0" w:right="0" w:hanging="0"/>
        <w:jc w:val="left"/>
        <w:rPr>
          <w:caps w:val="false"/>
          <w:smallCaps w:val="false"/>
        </w:rPr>
      </w:pPr>
      <w:r>
        <w:rPr>
          <w:caps w:val="false"/>
          <w:smallCaps w:val="false"/>
        </w:rPr>
        <w:t> </w:t>
      </w:r>
    </w:p>
    <w:tbl>
      <w:tblPr>
        <w:tblW w:w="8998" w:type="dxa"/>
        <w:jc w:val="left"/>
        <w:tblInd w:w="0" w:type="dxa"/>
        <w:tblLayout w:type="fixed"/>
        <w:tblCellMar>
          <w:top w:w="0" w:type="dxa"/>
          <w:left w:w="0" w:type="dxa"/>
          <w:bottom w:w="28" w:type="dxa"/>
          <w:right w:w="0" w:type="dxa"/>
        </w:tblCellMar>
      </w:tblPr>
      <w:tblGrid>
        <w:gridCol w:w="5270"/>
        <w:gridCol w:w="60"/>
        <w:gridCol w:w="375"/>
        <w:gridCol w:w="1459"/>
        <w:gridCol w:w="60"/>
        <w:gridCol w:w="60"/>
        <w:gridCol w:w="334"/>
        <w:gridCol w:w="1305"/>
        <w:gridCol w:w="75"/>
      </w:tblGrid>
      <w:tr>
        <w:trPr/>
        <w:tc>
          <w:tcPr>
            <w:tcW w:w="5270" w:type="dxa"/>
            <w:tcBorders>
              <w:bottom w:val="single" w:sz="8" w:space="0" w:color="000000"/>
            </w:tcBorders>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 millions, except per share data)</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34"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Three Months Ended </w:t>
              <w:br/>
              <w:t>March 31, 2026</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39"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Year Ended</w:t>
              <w:br/>
              <w:t>December 31, 2025</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527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Numerator:</w:t>
            </w:r>
          </w:p>
        </w:tc>
        <w:tc>
          <w:tcPr>
            <w:tcW w:w="60" w:type="dxa"/>
            <w:tcBorders/>
            <w:shd w:fill="CCEEFF" w:val="clear"/>
            <w:tcMar>
              <w:bottom w:w="0" w:type="dxa"/>
            </w:tcMar>
            <w:vAlign w:val="center"/>
          </w:tcPr>
          <w:p>
            <w:pPr>
              <w:pStyle w:val="TableContents"/>
              <w:bidi w:val="0"/>
              <w:spacing w:before="0" w:after="283"/>
              <w:jc w:val="left"/>
              <w:rPr/>
            </w:pPr>
            <w:r>
              <w:rPr/>
              <w:t> </w:t>
            </w:r>
          </w:p>
        </w:tc>
        <w:tc>
          <w:tcPr>
            <w:tcW w:w="375" w:type="dxa"/>
            <w:tcBorders/>
            <w:shd w:fill="CCEEFF" w:val="clear"/>
            <w:tcMar>
              <w:bottom w:w="0" w:type="dxa"/>
            </w:tcMar>
            <w:vAlign w:val="center"/>
          </w:tcPr>
          <w:p>
            <w:pPr>
              <w:pStyle w:val="TableContents"/>
              <w:bidi w:val="0"/>
              <w:spacing w:before="0" w:after="283"/>
              <w:jc w:val="left"/>
              <w:rPr/>
            </w:pPr>
            <w:r>
              <w:rPr/>
              <w:t> </w:t>
            </w:r>
          </w:p>
        </w:tc>
        <w:tc>
          <w:tcPr>
            <w:tcW w:w="1459"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34" w:type="dxa"/>
            <w:tcBorders/>
            <w:shd w:fill="CCEEFF" w:val="clear"/>
            <w:tcMar>
              <w:bottom w:w="0" w:type="dxa"/>
            </w:tcMar>
            <w:vAlign w:val="center"/>
          </w:tcPr>
          <w:p>
            <w:pPr>
              <w:pStyle w:val="TableContents"/>
              <w:bidi w:val="0"/>
              <w:spacing w:before="0" w:after="283"/>
              <w:jc w:val="left"/>
              <w:rPr/>
            </w:pPr>
            <w:r>
              <w:rPr/>
              <w:t> </w:t>
            </w:r>
          </w:p>
        </w:tc>
        <w:tc>
          <w:tcPr>
            <w:tcW w:w="1305" w:type="dxa"/>
            <w:tcBorders/>
            <w:shd w:fill="CCEEFF" w:val="clear"/>
            <w:tcMar>
              <w:bottom w:w="0" w:type="dxa"/>
            </w:tcMar>
            <w:vAlign w:val="center"/>
          </w:tcPr>
          <w:p>
            <w:pPr>
              <w:pStyle w:val="TableContents"/>
              <w:bidi w:val="0"/>
              <w:spacing w:before="0" w:after="283"/>
              <w:jc w:val="right"/>
              <w:rPr/>
            </w:pPr>
            <w:r>
              <w:rPr/>
              <w:t> </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527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 forma net income attributable to common stock</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7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459"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1,099</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34"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0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1,396</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527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75" w:type="dxa"/>
            <w:tcBorders/>
            <w:shd w:fill="CCEEFF" w:val="clear"/>
            <w:tcMar>
              <w:bottom w:w="0" w:type="dxa"/>
            </w:tcMar>
            <w:vAlign w:val="center"/>
          </w:tcPr>
          <w:p>
            <w:pPr>
              <w:pStyle w:val="TableContents"/>
              <w:bidi w:val="0"/>
              <w:spacing w:before="0" w:after="283"/>
              <w:jc w:val="left"/>
              <w:rPr/>
            </w:pPr>
            <w:r>
              <w:rPr/>
              <w:t> </w:t>
            </w:r>
          </w:p>
        </w:tc>
        <w:tc>
          <w:tcPr>
            <w:tcW w:w="1459"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34" w:type="dxa"/>
            <w:tcBorders/>
            <w:shd w:fill="CCEEFF" w:val="clear"/>
            <w:tcMar>
              <w:bottom w:w="0" w:type="dxa"/>
            </w:tcMar>
            <w:vAlign w:val="center"/>
          </w:tcPr>
          <w:p>
            <w:pPr>
              <w:pStyle w:val="TableContents"/>
              <w:bidi w:val="0"/>
              <w:spacing w:before="0" w:after="283"/>
              <w:jc w:val="left"/>
              <w:rPr/>
            </w:pPr>
            <w:r>
              <w:rPr/>
              <w:t> </w:t>
            </w:r>
          </w:p>
        </w:tc>
        <w:tc>
          <w:tcPr>
            <w:tcW w:w="1305" w:type="dxa"/>
            <w:tcBorders/>
            <w:shd w:fill="CCEEFF" w:val="clear"/>
            <w:tcMar>
              <w:bottom w:w="0" w:type="dxa"/>
            </w:tcMar>
            <w:vAlign w:val="center"/>
          </w:tcPr>
          <w:p>
            <w:pPr>
              <w:pStyle w:val="TableContents"/>
              <w:bidi w:val="0"/>
              <w:spacing w:before="0" w:after="283"/>
              <w:jc w:val="right"/>
              <w:rPr/>
            </w:pPr>
            <w:r>
              <w:rPr/>
              <w:t> </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527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Denominator:</w:t>
            </w:r>
          </w:p>
        </w:tc>
        <w:tc>
          <w:tcPr>
            <w:tcW w:w="60" w:type="dxa"/>
            <w:tcBorders/>
            <w:shd w:fill="FFFFFF" w:val="clear"/>
            <w:tcMar>
              <w:bottom w:w="0" w:type="dxa"/>
            </w:tcMar>
            <w:vAlign w:val="center"/>
          </w:tcPr>
          <w:p>
            <w:pPr>
              <w:pStyle w:val="TableContents"/>
              <w:bidi w:val="0"/>
              <w:spacing w:before="0" w:after="283"/>
              <w:jc w:val="left"/>
              <w:rPr/>
            </w:pPr>
            <w:r>
              <w:rPr/>
              <w:t> </w:t>
            </w:r>
          </w:p>
        </w:tc>
        <w:tc>
          <w:tcPr>
            <w:tcW w:w="375" w:type="dxa"/>
            <w:tcBorders/>
            <w:shd w:fill="FFFFFF" w:val="clear"/>
            <w:tcMar>
              <w:bottom w:w="0" w:type="dxa"/>
            </w:tcMar>
            <w:vAlign w:val="center"/>
          </w:tcPr>
          <w:p>
            <w:pPr>
              <w:pStyle w:val="TableContents"/>
              <w:bidi w:val="0"/>
              <w:spacing w:before="0" w:after="283"/>
              <w:jc w:val="left"/>
              <w:rPr/>
            </w:pPr>
            <w:r>
              <w:rPr/>
              <w:t> </w:t>
            </w:r>
          </w:p>
        </w:tc>
        <w:tc>
          <w:tcPr>
            <w:tcW w:w="1459"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34" w:type="dxa"/>
            <w:tcBorders/>
            <w:shd w:fill="FFFFFF" w:val="clear"/>
            <w:tcMar>
              <w:bottom w:w="0" w:type="dxa"/>
            </w:tcMar>
            <w:vAlign w:val="center"/>
          </w:tcPr>
          <w:p>
            <w:pPr>
              <w:pStyle w:val="TableContents"/>
              <w:bidi w:val="0"/>
              <w:spacing w:before="0" w:after="283"/>
              <w:jc w:val="left"/>
              <w:rPr/>
            </w:pPr>
            <w:r>
              <w:rPr/>
              <w:t> </w:t>
            </w:r>
          </w:p>
        </w:tc>
        <w:tc>
          <w:tcPr>
            <w:tcW w:w="1305" w:type="dxa"/>
            <w:tcBorders/>
            <w:shd w:fill="FFFFFF" w:val="clear"/>
            <w:tcMar>
              <w:bottom w:w="0" w:type="dxa"/>
            </w:tcMar>
            <w:vAlign w:val="center"/>
          </w:tcPr>
          <w:p>
            <w:pPr>
              <w:pStyle w:val="TableContents"/>
              <w:bidi w:val="0"/>
              <w:spacing w:before="0" w:after="283"/>
              <w:jc w:val="right"/>
              <w:rPr/>
            </w:pPr>
            <w:r>
              <w:rPr/>
              <w:t> </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527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 forma Charter weighted average shares outstanding (basic)</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59"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34"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0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135</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527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 of dilutive securities: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375" w:type="dxa"/>
            <w:tcBorders/>
            <w:shd w:fill="FFFFFF" w:val="clear"/>
            <w:tcMar>
              <w:bottom w:w="0" w:type="dxa"/>
            </w:tcMar>
            <w:vAlign w:val="center"/>
          </w:tcPr>
          <w:p>
            <w:pPr>
              <w:pStyle w:val="TableContents"/>
              <w:bidi w:val="0"/>
              <w:spacing w:before="0" w:after="283"/>
              <w:jc w:val="left"/>
              <w:rPr/>
            </w:pPr>
            <w:r>
              <w:rPr/>
              <w:t> </w:t>
            </w:r>
          </w:p>
        </w:tc>
        <w:tc>
          <w:tcPr>
            <w:tcW w:w="1459"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34" w:type="dxa"/>
            <w:tcBorders/>
            <w:shd w:fill="FFFFFF" w:val="clear"/>
            <w:tcMar>
              <w:bottom w:w="0" w:type="dxa"/>
            </w:tcMar>
            <w:vAlign w:val="center"/>
          </w:tcPr>
          <w:p>
            <w:pPr>
              <w:pStyle w:val="TableContents"/>
              <w:bidi w:val="0"/>
              <w:spacing w:before="0" w:after="283"/>
              <w:jc w:val="left"/>
              <w:rPr/>
            </w:pPr>
            <w:r>
              <w:rPr/>
              <w:t> </w:t>
            </w:r>
          </w:p>
        </w:tc>
        <w:tc>
          <w:tcPr>
            <w:tcW w:w="1305" w:type="dxa"/>
            <w:tcBorders/>
            <w:shd w:fill="FFFFFF" w:val="clear"/>
            <w:tcMar>
              <w:bottom w:w="0" w:type="dxa"/>
            </w:tcMar>
            <w:vAlign w:val="center"/>
          </w:tcPr>
          <w:p>
            <w:pPr>
              <w:pStyle w:val="TableContents"/>
              <w:bidi w:val="0"/>
              <w:spacing w:before="0" w:after="283"/>
              <w:jc w:val="right"/>
              <w:rPr/>
            </w:pPr>
            <w:r>
              <w:rPr/>
              <w:t> </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527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Assumed exercise or issuance of shares relating to stock plans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75"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59"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34"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05"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527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 forma weighted average common shares outstanding, diluted</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75" w:type="dxa"/>
            <w:tcBorders>
              <w:bottom w:val="double" w:sz="6"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59" w:type="dxa"/>
            <w:tcBorders>
              <w:bottom w:val="double" w:sz="6"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127</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34" w:type="dxa"/>
            <w:tcBorders>
              <w:bottom w:val="double" w:sz="6"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05" w:type="dxa"/>
            <w:tcBorders>
              <w:bottom w:val="double" w:sz="6"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138</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527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75" w:type="dxa"/>
            <w:tcBorders/>
            <w:shd w:fill="CCEEFF" w:val="clear"/>
            <w:tcMar>
              <w:bottom w:w="0" w:type="dxa"/>
            </w:tcMar>
            <w:vAlign w:val="center"/>
          </w:tcPr>
          <w:p>
            <w:pPr>
              <w:pStyle w:val="TableContents"/>
              <w:bidi w:val="0"/>
              <w:spacing w:before="0" w:after="283"/>
              <w:jc w:val="left"/>
              <w:rPr/>
            </w:pPr>
            <w:r>
              <w:rPr/>
              <w:t> </w:t>
            </w:r>
          </w:p>
        </w:tc>
        <w:tc>
          <w:tcPr>
            <w:tcW w:w="1459"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34" w:type="dxa"/>
            <w:tcBorders/>
            <w:shd w:fill="CCEEFF" w:val="clear"/>
            <w:tcMar>
              <w:bottom w:w="0" w:type="dxa"/>
            </w:tcMar>
            <w:vAlign w:val="center"/>
          </w:tcPr>
          <w:p>
            <w:pPr>
              <w:pStyle w:val="TableContents"/>
              <w:bidi w:val="0"/>
              <w:spacing w:before="0" w:after="283"/>
              <w:jc w:val="left"/>
              <w:rPr/>
            </w:pPr>
            <w:r>
              <w:rPr/>
              <w:t> </w:t>
            </w:r>
          </w:p>
        </w:tc>
        <w:tc>
          <w:tcPr>
            <w:tcW w:w="1305" w:type="dxa"/>
            <w:tcBorders/>
            <w:shd w:fill="CCEEFF" w:val="clear"/>
            <w:tcMar>
              <w:bottom w:w="0" w:type="dxa"/>
            </w:tcMar>
            <w:vAlign w:val="center"/>
          </w:tcPr>
          <w:p>
            <w:pPr>
              <w:pStyle w:val="TableContents"/>
              <w:bidi w:val="0"/>
              <w:spacing w:before="0" w:after="283"/>
              <w:jc w:val="right"/>
              <w:rPr/>
            </w:pPr>
            <w:r>
              <w:rPr/>
              <w:t> </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527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 forma net income per share attributable to common stock:</w:t>
            </w:r>
          </w:p>
        </w:tc>
        <w:tc>
          <w:tcPr>
            <w:tcW w:w="60" w:type="dxa"/>
            <w:tcBorders/>
            <w:shd w:fill="FFFFFF" w:val="clear"/>
            <w:tcMar>
              <w:bottom w:w="0" w:type="dxa"/>
            </w:tcMar>
            <w:vAlign w:val="center"/>
          </w:tcPr>
          <w:p>
            <w:pPr>
              <w:pStyle w:val="TableContents"/>
              <w:bidi w:val="0"/>
              <w:spacing w:before="0" w:after="283"/>
              <w:jc w:val="left"/>
              <w:rPr/>
            </w:pPr>
            <w:r>
              <w:rPr/>
              <w:t> </w:t>
            </w:r>
          </w:p>
        </w:tc>
        <w:tc>
          <w:tcPr>
            <w:tcW w:w="375" w:type="dxa"/>
            <w:tcBorders/>
            <w:shd w:fill="FFFFFF" w:val="clear"/>
            <w:tcMar>
              <w:bottom w:w="0" w:type="dxa"/>
            </w:tcMar>
            <w:vAlign w:val="center"/>
          </w:tcPr>
          <w:p>
            <w:pPr>
              <w:pStyle w:val="TableContents"/>
              <w:bidi w:val="0"/>
              <w:spacing w:before="0" w:after="283"/>
              <w:jc w:val="left"/>
              <w:rPr/>
            </w:pPr>
            <w:r>
              <w:rPr/>
              <w:t> </w:t>
            </w:r>
          </w:p>
        </w:tc>
        <w:tc>
          <w:tcPr>
            <w:tcW w:w="1459"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34" w:type="dxa"/>
            <w:tcBorders/>
            <w:shd w:fill="FFFFFF" w:val="clear"/>
            <w:tcMar>
              <w:bottom w:w="0" w:type="dxa"/>
            </w:tcMar>
            <w:vAlign w:val="center"/>
          </w:tcPr>
          <w:p>
            <w:pPr>
              <w:pStyle w:val="TableContents"/>
              <w:bidi w:val="0"/>
              <w:spacing w:before="0" w:after="283"/>
              <w:jc w:val="left"/>
              <w:rPr/>
            </w:pPr>
            <w:r>
              <w:rPr/>
              <w:t> </w:t>
            </w:r>
          </w:p>
        </w:tc>
        <w:tc>
          <w:tcPr>
            <w:tcW w:w="1305" w:type="dxa"/>
            <w:tcBorders/>
            <w:shd w:fill="FFFFFF" w:val="clear"/>
            <w:tcMar>
              <w:bottom w:w="0" w:type="dxa"/>
            </w:tcMar>
            <w:vAlign w:val="center"/>
          </w:tcPr>
          <w:p>
            <w:pPr>
              <w:pStyle w:val="TableContents"/>
              <w:bidi w:val="0"/>
              <w:spacing w:before="0" w:after="283"/>
              <w:jc w:val="right"/>
              <w:rPr/>
            </w:pPr>
            <w:r>
              <w:rPr/>
              <w:t> </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527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7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459"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8.79</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34"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0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10.34</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527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Diluted</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7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459"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34"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0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10.15</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28404</Words>
  <Characters>156588</Characters>
  <CharactersWithSpaces>188151</CharactersWithSpaces>
  <Paragraphs>9363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