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3042.xml.htm"/>
      <w:bookmarkStart w:id="1" w:name="kswkform4_17876030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 Richard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CHARTER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149.395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54,932</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54,932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21,336</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August 20, 2026 under the Charter Communications, Inc. 2019 Stock Incentive Plan in connection with the closing of the previously announced transactions contemplated by the Transaction Agreement by and among Charter Communications, Inc., Charter Communications Holdings, LLC and Cox Enterprises, Inc. (the "Cox Transactions"); 100% of the grant will vest on the fourth anniversary of the grant date, August 20,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August 20, 2026 under the Charter Communications, Inc. 2019 Stock Incentive Plan in connection with the closing of the Cox Transactions; 50% of the grant will vest on the second anniversary of the grant date, August 20, 2028, and 50% of the grant will vest on the fourth anniversary of the grant date, August 20,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A. Smith as attorney-in-fact for Richard Adam 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234"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4122</Characters>
  <CharactersWithSpaces>4794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