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7"/>
          <w:szCs w:val="17"/>
          <w:color w:val="auto"/>
        </w:rPr>
        <w:t>______________</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7"/>
          <w:szCs w:val="17"/>
          <w:color w:val="auto"/>
        </w:rPr>
        <w:t>______________</w:t>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2655570</wp:posOffset>
            </wp:positionH>
            <wp:positionV relativeFrom="paragraph">
              <wp:posOffset>154940</wp:posOffset>
            </wp:positionV>
            <wp:extent cx="1840230" cy="550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0230" cy="550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7380" w:type="dxa"/>
            <w:vAlign w:val="bottom"/>
            <w:gridSpan w:val="7"/>
          </w:tcPr>
          <w:p>
            <w:pPr>
              <w:jc w:val="center"/>
              <w:ind w:right="3571"/>
              <w:spacing w:after="0"/>
              <w:rPr>
                <w:sz w:val="20"/>
                <w:szCs w:val="20"/>
                <w:color w:val="auto"/>
              </w:rPr>
            </w:pPr>
            <w:r>
              <w:rPr>
                <w:rFonts w:ascii="Times New Roman" w:cs="Times New Roman" w:eastAsia="Times New Roman" w:hAnsi="Times New Roman"/>
                <w:sz w:val="17"/>
                <w:szCs w:val="17"/>
                <w:b w:val="1"/>
                <w:bCs w:val="1"/>
                <w:color w:val="auto"/>
              </w:rPr>
              <w:t>Charter Communications, Inc.</w:t>
            </w:r>
          </w:p>
        </w:tc>
      </w:tr>
      <w:tr>
        <w:trPr>
          <w:trHeight w:val="207"/>
        </w:trPr>
        <w:tc>
          <w:tcPr>
            <w:tcW w:w="3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580" w:type="dxa"/>
            <w:vAlign w:val="bottom"/>
            <w:gridSpan w:val="6"/>
          </w:tcPr>
          <w:p>
            <w:pPr>
              <w:jc w:val="center"/>
              <w:ind w:right="4391"/>
              <w:spacing w:after="0"/>
              <w:rPr>
                <w:sz w:val="20"/>
                <w:szCs w:val="20"/>
                <w:color w:val="auto"/>
              </w:rPr>
            </w:pPr>
            <w:r>
              <w:rPr>
                <w:rFonts w:ascii="Times New Roman" w:cs="Times New Roman" w:eastAsia="Times New Roman" w:hAnsi="Times New Roman"/>
                <w:sz w:val="17"/>
                <w:szCs w:val="17"/>
                <w:b w:val="1"/>
                <w:bCs w:val="1"/>
                <w:color w:val="auto"/>
              </w:rPr>
              <w:t>CCO Holdings, LLC</w:t>
            </w:r>
          </w:p>
        </w:tc>
      </w:tr>
      <w:tr>
        <w:trPr>
          <w:trHeight w:val="189"/>
        </w:trPr>
        <w:tc>
          <w:tcPr>
            <w:tcW w:w="3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40" w:type="dxa"/>
            <w:vAlign w:val="bottom"/>
            <w:tcBorders>
              <w:bottom w:val="single" w:sz="8" w:color="auto"/>
            </w:tcBorders>
            <w:gridSpan w:val="5"/>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CCO Holdings Capital Corp.</w:t>
            </w:r>
          </w:p>
        </w:tc>
        <w:tc>
          <w:tcPr>
            <w:tcW w:w="4440" w:type="dxa"/>
            <w:vAlign w:val="bottom"/>
          </w:tcPr>
          <w:p>
            <w:pPr>
              <w:spacing w:after="0"/>
              <w:rPr>
                <w:sz w:val="16"/>
                <w:szCs w:val="16"/>
                <w:color w:val="auto"/>
              </w:rPr>
            </w:pPr>
          </w:p>
        </w:tc>
      </w:tr>
      <w:tr>
        <w:trPr>
          <w:trHeight w:val="177"/>
        </w:trPr>
        <w:tc>
          <w:tcPr>
            <w:tcW w:w="3640" w:type="dxa"/>
            <w:vAlign w:val="bottom"/>
          </w:tcPr>
          <w:p>
            <w:pPr>
              <w:spacing w:after="0"/>
              <w:rPr>
                <w:sz w:val="15"/>
                <w:szCs w:val="15"/>
                <w:color w:val="auto"/>
              </w:rPr>
            </w:pPr>
          </w:p>
        </w:tc>
        <w:tc>
          <w:tcPr>
            <w:tcW w:w="7380" w:type="dxa"/>
            <w:vAlign w:val="bottom"/>
            <w:gridSpan w:val="7"/>
          </w:tcPr>
          <w:p>
            <w:pPr>
              <w:jc w:val="center"/>
              <w:ind w:right="3591"/>
              <w:spacing w:after="0"/>
              <w:rPr>
                <w:sz w:val="20"/>
                <w:szCs w:val="20"/>
                <w:color w:val="auto"/>
              </w:rPr>
            </w:pPr>
            <w:r>
              <w:rPr>
                <w:rFonts w:ascii="Times New Roman" w:cs="Times New Roman" w:eastAsia="Times New Roman" w:hAnsi="Times New Roman"/>
                <w:sz w:val="14"/>
                <w:szCs w:val="14"/>
                <w:i w:val="1"/>
                <w:iCs w:val="1"/>
                <w:color w:val="auto"/>
                <w:w w:val="98"/>
              </w:rPr>
              <w:t>(Exact name of registrant as specified in its charter)</w:t>
            </w:r>
          </w:p>
        </w:tc>
      </w:tr>
      <w:tr>
        <w:trPr>
          <w:trHeight w:val="398"/>
        </w:trPr>
        <w:tc>
          <w:tcPr>
            <w:tcW w:w="3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5160" w:type="dxa"/>
            <w:vAlign w:val="bottom"/>
            <w:gridSpan w:val="2"/>
          </w:tcPr>
          <w:p>
            <w:pPr>
              <w:spacing w:after="0"/>
              <w:rPr>
                <w:sz w:val="24"/>
                <w:szCs w:val="24"/>
                <w:color w:val="auto"/>
              </w:rPr>
            </w:pPr>
          </w:p>
        </w:tc>
      </w:tr>
      <w:tr>
        <w:trPr>
          <w:trHeight w:val="177"/>
        </w:trPr>
        <w:tc>
          <w:tcPr>
            <w:tcW w:w="3640" w:type="dxa"/>
            <w:vAlign w:val="bottom"/>
          </w:tcPr>
          <w:p>
            <w:pPr>
              <w:spacing w:after="0"/>
              <w:rPr>
                <w:sz w:val="15"/>
                <w:szCs w:val="15"/>
                <w:color w:val="auto"/>
              </w:rPr>
            </w:pPr>
          </w:p>
        </w:tc>
        <w:tc>
          <w:tcPr>
            <w:tcW w:w="7380" w:type="dxa"/>
            <w:vAlign w:val="bottom"/>
            <w:gridSpan w:val="7"/>
          </w:tcPr>
          <w:p>
            <w:pPr>
              <w:jc w:val="center"/>
              <w:ind w:right="3591"/>
              <w:spacing w:after="0"/>
              <w:rPr>
                <w:sz w:val="20"/>
                <w:szCs w:val="20"/>
                <w:color w:val="auto"/>
              </w:rPr>
            </w:pPr>
            <w:r>
              <w:rPr>
                <w:rFonts w:ascii="Times New Roman" w:cs="Times New Roman" w:eastAsia="Times New Roman" w:hAnsi="Times New Roman"/>
                <w:sz w:val="14"/>
                <w:szCs w:val="14"/>
                <w:i w:val="1"/>
                <w:iCs w:val="1"/>
                <w:color w:val="auto"/>
                <w:w w:val="98"/>
              </w:rPr>
              <w:t>(State or other jurisdiction of incorporation or organization)</w:t>
            </w:r>
          </w:p>
        </w:tc>
      </w:tr>
      <w:tr>
        <w:trPr>
          <w:trHeight w:val="248"/>
        </w:trPr>
        <w:tc>
          <w:tcPr>
            <w:tcW w:w="3640" w:type="dxa"/>
            <w:vAlign w:val="bottom"/>
          </w:tcPr>
          <w:p>
            <w:pPr>
              <w:jc w:val="center"/>
              <w:ind w:left="1658"/>
              <w:spacing w:after="0"/>
              <w:rPr>
                <w:sz w:val="20"/>
                <w:szCs w:val="20"/>
                <w:color w:val="auto"/>
              </w:rPr>
            </w:pPr>
            <w:r>
              <w:rPr>
                <w:rFonts w:ascii="Times New Roman" w:cs="Times New Roman" w:eastAsia="Times New Roman" w:hAnsi="Times New Roman"/>
                <w:sz w:val="17"/>
                <w:szCs w:val="17"/>
                <w:b w:val="1"/>
                <w:bCs w:val="1"/>
                <w:color w:val="auto"/>
              </w:rPr>
              <w:t>001-33664</w:t>
            </w:r>
          </w:p>
        </w:tc>
        <w:tc>
          <w:tcPr>
            <w:tcW w:w="7380" w:type="dxa"/>
            <w:vAlign w:val="bottom"/>
            <w:gridSpan w:val="7"/>
          </w:tcPr>
          <w:p>
            <w:pPr>
              <w:jc w:val="center"/>
              <w:ind w:left="1740"/>
              <w:spacing w:after="0"/>
              <w:rPr>
                <w:sz w:val="20"/>
                <w:szCs w:val="20"/>
                <w:color w:val="auto"/>
              </w:rPr>
            </w:pPr>
            <w:r>
              <w:rPr>
                <w:rFonts w:ascii="Times New Roman" w:cs="Times New Roman" w:eastAsia="Times New Roman" w:hAnsi="Times New Roman"/>
                <w:sz w:val="17"/>
                <w:szCs w:val="17"/>
                <w:b w:val="1"/>
                <w:bCs w:val="1"/>
                <w:color w:val="auto"/>
              </w:rPr>
              <w:t>84-1496755</w:t>
            </w:r>
          </w:p>
        </w:tc>
      </w:tr>
      <w:tr>
        <w:trPr>
          <w:trHeight w:val="220"/>
        </w:trPr>
        <w:tc>
          <w:tcPr>
            <w:tcW w:w="3640" w:type="dxa"/>
            <w:vAlign w:val="bottom"/>
          </w:tcPr>
          <w:p>
            <w:pPr>
              <w:jc w:val="center"/>
              <w:ind w:left="1658"/>
              <w:spacing w:after="0"/>
              <w:rPr>
                <w:sz w:val="20"/>
                <w:szCs w:val="20"/>
                <w:color w:val="auto"/>
              </w:rPr>
            </w:pPr>
            <w:r>
              <w:rPr>
                <w:rFonts w:ascii="Times New Roman" w:cs="Times New Roman" w:eastAsia="Times New Roman" w:hAnsi="Times New Roman"/>
                <w:sz w:val="17"/>
                <w:szCs w:val="17"/>
                <w:b w:val="1"/>
                <w:bCs w:val="1"/>
                <w:color w:val="auto"/>
              </w:rPr>
              <w:t>001-37789</w:t>
            </w:r>
          </w:p>
        </w:tc>
        <w:tc>
          <w:tcPr>
            <w:tcW w:w="7380" w:type="dxa"/>
            <w:vAlign w:val="bottom"/>
            <w:gridSpan w:val="7"/>
          </w:tcPr>
          <w:p>
            <w:pPr>
              <w:jc w:val="center"/>
              <w:ind w:left="1740"/>
              <w:spacing w:after="0"/>
              <w:rPr>
                <w:sz w:val="20"/>
                <w:szCs w:val="20"/>
                <w:color w:val="auto"/>
              </w:rPr>
            </w:pPr>
            <w:r>
              <w:rPr>
                <w:rFonts w:ascii="Times New Roman" w:cs="Times New Roman" w:eastAsia="Times New Roman" w:hAnsi="Times New Roman"/>
                <w:sz w:val="17"/>
                <w:szCs w:val="17"/>
                <w:b w:val="1"/>
                <w:bCs w:val="1"/>
                <w:color w:val="auto"/>
              </w:rPr>
              <w:t>86-1067239</w:t>
            </w:r>
          </w:p>
        </w:tc>
      </w:tr>
      <w:tr>
        <w:trPr>
          <w:trHeight w:val="227"/>
        </w:trPr>
        <w:tc>
          <w:tcPr>
            <w:tcW w:w="3640" w:type="dxa"/>
            <w:vAlign w:val="bottom"/>
          </w:tcPr>
          <w:p>
            <w:pPr>
              <w:jc w:val="center"/>
              <w:ind w:left="1658"/>
              <w:spacing w:after="0"/>
              <w:rPr>
                <w:sz w:val="20"/>
                <w:szCs w:val="20"/>
                <w:color w:val="auto"/>
              </w:rPr>
            </w:pPr>
            <w:r>
              <w:rPr>
                <w:rFonts w:ascii="Times New Roman" w:cs="Times New Roman" w:eastAsia="Times New Roman" w:hAnsi="Times New Roman"/>
                <w:sz w:val="17"/>
                <w:szCs w:val="17"/>
                <w:b w:val="1"/>
                <w:bCs w:val="1"/>
                <w:color w:val="auto"/>
              </w:rPr>
              <w:t>333-112593-01</w:t>
            </w:r>
          </w:p>
        </w:tc>
        <w:tc>
          <w:tcPr>
            <w:tcW w:w="7380" w:type="dxa"/>
            <w:vAlign w:val="bottom"/>
            <w:gridSpan w:val="7"/>
          </w:tcPr>
          <w:p>
            <w:pPr>
              <w:jc w:val="center"/>
              <w:ind w:left="1740"/>
              <w:spacing w:after="0"/>
              <w:rPr>
                <w:sz w:val="20"/>
                <w:szCs w:val="20"/>
                <w:color w:val="auto"/>
              </w:rPr>
            </w:pPr>
            <w:r>
              <w:rPr>
                <w:rFonts w:ascii="Times New Roman" w:cs="Times New Roman" w:eastAsia="Times New Roman" w:hAnsi="Times New Roman"/>
                <w:sz w:val="17"/>
                <w:szCs w:val="17"/>
                <w:b w:val="1"/>
                <w:bCs w:val="1"/>
                <w:color w:val="auto"/>
              </w:rPr>
              <w:t>20-0257904</w:t>
            </w:r>
          </w:p>
        </w:tc>
      </w:tr>
      <w:tr>
        <w:trPr>
          <w:trHeight w:val="176"/>
        </w:trPr>
        <w:tc>
          <w:tcPr>
            <w:tcW w:w="3640" w:type="dxa"/>
            <w:vAlign w:val="bottom"/>
            <w:tcBorders>
              <w:top w:val="single" w:sz="8" w:color="auto"/>
            </w:tcBorders>
          </w:tcPr>
          <w:p>
            <w:pPr>
              <w:ind w:left="1920"/>
              <w:spacing w:after="0"/>
              <w:rPr>
                <w:sz w:val="20"/>
                <w:szCs w:val="20"/>
                <w:color w:val="auto"/>
              </w:rPr>
            </w:pPr>
            <w:r>
              <w:rPr>
                <w:rFonts w:ascii="Times New Roman" w:cs="Times New Roman" w:eastAsia="Times New Roman" w:hAnsi="Times New Roman"/>
                <w:sz w:val="14"/>
                <w:szCs w:val="14"/>
                <w:i w:val="1"/>
                <w:iCs w:val="1"/>
                <w:color w:val="auto"/>
              </w:rPr>
              <w:t>(Commission File Number)</w:t>
            </w:r>
          </w:p>
        </w:tc>
        <w:tc>
          <w:tcPr>
            <w:tcW w:w="8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440" w:type="dxa"/>
            <w:vAlign w:val="bottom"/>
            <w:tcBorders>
              <w:top w:val="single" w:sz="8" w:color="auto"/>
            </w:tcBorders>
          </w:tcPr>
          <w:p>
            <w:pPr>
              <w:jc w:val="center"/>
              <w:ind w:right="1031"/>
              <w:spacing w:after="0"/>
              <w:rPr>
                <w:sz w:val="20"/>
                <w:szCs w:val="20"/>
                <w:color w:val="auto"/>
              </w:rPr>
            </w:pPr>
            <w:r>
              <w:rPr>
                <w:rFonts w:ascii="Times New Roman" w:cs="Times New Roman" w:eastAsia="Times New Roman" w:hAnsi="Times New Roman"/>
                <w:sz w:val="14"/>
                <w:szCs w:val="14"/>
                <w:i w:val="1"/>
                <w:iCs w:val="1"/>
                <w:color w:val="auto"/>
                <w:w w:val="98"/>
              </w:rPr>
              <w:t>(I.R.S. Employer Identification Number)</w:t>
            </w:r>
          </w:p>
        </w:tc>
      </w:tr>
    </w:tbl>
    <w:p>
      <w:pPr>
        <w:spacing w:after="0" w:line="3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400 Washington Blvd.</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Stamford, Connecticut 06902</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(203) 905-7801</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(Former name or former address, if changed since last report)</w:t>
      </w:r>
    </w:p>
    <w:p>
      <w:pPr>
        <w:spacing w:after="0" w:line="306" w:lineRule="exact"/>
        <w:rPr>
          <w:sz w:val="24"/>
          <w:szCs w:val="24"/>
          <w:color w:val="auto"/>
        </w:rPr>
      </w:pPr>
    </w:p>
    <w:p>
      <w:pPr>
        <w:ind w:right="20"/>
        <w:spacing w:after="0" w:line="291"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263"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Rule 425 under the Securities Act (17 CFR 230.425)</w:t>
      </w:r>
    </w:p>
    <w:p>
      <w:pPr>
        <w:spacing w:after="0" w:line="31"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1"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1"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36"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3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13"/>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Common Stock, $.001 Par Value</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CHTR</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r>
    </w:tbl>
    <w:p>
      <w:pPr>
        <w:spacing w:after="0" w:line="292" w:lineRule="exact"/>
        <w:rPr>
          <w:sz w:val="24"/>
          <w:szCs w:val="24"/>
          <w:color w:val="auto"/>
        </w:rPr>
      </w:pPr>
    </w:p>
    <w:p>
      <w:pPr>
        <w:jc w:val="both"/>
        <w:ind w:right="20"/>
        <w:spacing w:after="0" w:line="291"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83"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406400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960" w:right="319" w:bottom="1440" w:gutter="0" w:footer="0" w:header="0"/>
        </w:sectPr>
      </w:pPr>
    </w:p>
    <w:bookmarkStart w:id="1" w:name="page2"/>
    <w:bookmarkEnd w:id="1"/>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ITEM 5.02 DEPARTURE OF DIRECTORS OR CERTAIN OFFICERS; ELECTION OF DIRECTORS; APPOINTMENT OF CERTAIN OFFICERS; COMPENSATORY ARRANGEMENTS OF CERTAIN OFFICERS.</w:t>
      </w:r>
    </w:p>
    <w:p>
      <w:pPr>
        <w:spacing w:after="0" w:line="17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On May 15, 2026, Charter Communications, Inc. (the “Company”) entered into an employment agreement (the “Employment Agreement”) with Jamal Haughton, the Company’s Executive Vice President, General Counsel &amp; Corporate Secretary.</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Employment Agreement, which is effective as of May 15, 2026, has a term ending May 15, 2028 (or upon an earlier termination of employment) and provides that Mr. Haughton will continue to serve as Executive Vice President, General Counsel &amp; Corporate Secretary. The Employment Agreement provides that Mr. Haughton will receive an annual base salary of at least $825,000 and a target annual cash bonus opportunity of 160% of his annual base salary. Commencing in 2027 and during the term, Mr. Haughton will be granted equity awards with a grant date fair value of at least $4,000,000, with such awards granted in a mix of options and restricted stock units. Pursuant to the Employment Agreement, on May 15, 2026, Mr. Haughton was granted a top up award with a grant date fair value of $656,250, consisting of a mix of options and restricted stock units, which award will cliff vest on the third anniversary of the grant date, subject to Mr. Haughton’s continued employment with the Company through such date.</w:t>
      </w:r>
    </w:p>
    <w:p>
      <w:pPr>
        <w:spacing w:after="0" w:line="19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Mr. Haughton will also continue to participate in the Company’s employee benefit plans and receive perquisites as generally provided to other senior executives of the Company. In addition, consistent with Mr. Haughton’s prior employment agreement, the Company will continue to reimburse Mr. Haughton for all reasonable and necessary expenses incurred in connection with the performance of his duties.</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the employment of Mr. Haughton is terminated involuntarily by the Company without cause, by Mr. Haughton for good reason or upon the Company’s non-renewal of the term, he would be entitled to (a) a cash severance payment equal to the product of 2.0 multiplied by the sum of his annual base salary and target annual bonus opportunity for the year in which the termination occurs, (b) a prorated annual cash bonus for the year in which the termination occurs based on actual performance, (c) a cash payment equal to the cost of COBRA coverage for 24 months following termination, and (d) up to 12 months of executive-level outplacement services.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termination benefits described above are subject to Mr. Haughton’s execution of a release of claims in favor of the Company and its affiliates. In addition, Mr. Haughton has agreed to comply with covenants (a) concerning nondisclosure of confidential information, assignment of intellectual property and nondisparagement of the Company, (b) concerning noncompetition for two years following termination, and (c) concerning nonsolicitation of customers and employees of the Company for one year following termination.</w:t>
      </w:r>
    </w:p>
    <w:p>
      <w:pPr>
        <w:spacing w:after="0" w:line="19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foregoing summary of the Employment Agreement does not purport to be complete and is qualified in its entirety by reference to the full text thereof, which is filed herewith as Exhibit 10.1 and incorporated by reference herein in its entirety.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gridSpan w:val="2"/>
          </w:tcPr>
          <w:p>
            <w:pPr>
              <w:ind w:left="406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401"/>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Employment Agreement, dated as of May 15, 2026, between Charter Communications, Inc. and Jamal Haughton.</w:t>
            </w:r>
          </w:p>
        </w:tc>
        <w:tc>
          <w:tcPr>
            <w:tcW w:w="1140" w:type="dxa"/>
            <w:vAlign w:val="bottom"/>
          </w:tcPr>
          <w:p>
            <w:pPr>
              <w:spacing w:after="0"/>
              <w:rPr>
                <w:sz w:val="24"/>
                <w:szCs w:val="24"/>
                <w:color w:val="auto"/>
              </w:rPr>
            </w:pPr>
          </w:p>
        </w:tc>
      </w:tr>
      <w:tr>
        <w:trPr>
          <w:trHeight w:val="239"/>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cover page from this Current Report on Form 8-K, formatted in Inline XBRL</w:t>
            </w:r>
          </w:p>
        </w:tc>
      </w:tr>
      <w:tr>
        <w:trPr>
          <w:trHeight w:val="375"/>
        </w:trPr>
        <w:tc>
          <w:tcPr>
            <w:tcW w:w="2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Filed herewith</w:t>
            </w:r>
          </w:p>
        </w:tc>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5"/>
        </w:trPr>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33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p>
      <w:pPr>
        <w:spacing w:after="0" w:line="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CHARTER COMMUNICATIONS, INC.</w:t>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Registrant</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160" w:type="dxa"/>
            <w:vAlign w:val="bottom"/>
          </w:tcPr>
          <w:p>
            <w:pPr>
              <w:ind w:left="4500"/>
              <w:spacing w:after="0"/>
              <w:rPr>
                <w:sz w:val="20"/>
                <w:szCs w:val="20"/>
                <w:color w:val="auto"/>
              </w:rPr>
            </w:pPr>
            <w:r>
              <w:rPr>
                <w:rFonts w:ascii="Times New Roman" w:cs="Times New Roman" w:eastAsia="Times New Roman" w:hAnsi="Times New Roman"/>
                <w:sz w:val="17"/>
                <w:szCs w:val="17"/>
                <w:color w:val="auto"/>
              </w:rPr>
              <w:t>By:</w:t>
            </w:r>
          </w:p>
        </w:tc>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Kevin D. Howard</w:t>
            </w:r>
          </w:p>
        </w:tc>
      </w:tr>
      <w:tr>
        <w:trPr>
          <w:trHeight w:val="207"/>
        </w:trPr>
        <w:tc>
          <w:tcPr>
            <w:tcW w:w="516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Kevin D. Howard</w:t>
            </w:r>
          </w:p>
        </w:tc>
      </w:tr>
      <w:tr>
        <w:trPr>
          <w:trHeight w:val="226"/>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Date: May 19, 2026</w:t>
            </w:r>
          </w:p>
        </w:tc>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Chief Accounting Officer and Controller</w:t>
            </w:r>
          </w:p>
        </w:tc>
      </w:tr>
    </w:tbl>
    <w:p>
      <w:pPr>
        <w:spacing w:after="0" w:line="200" w:lineRule="exact"/>
        <w:rPr>
          <w:sz w:val="20"/>
          <w:szCs w:val="20"/>
          <w:color w:val="auto"/>
        </w:rPr>
      </w:pPr>
    </w:p>
    <w:p>
      <w:pPr>
        <w:spacing w:after="0" w:line="28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CCO Holdings, LLC</w:t>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Registrant</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160" w:type="dxa"/>
            <w:vAlign w:val="bottom"/>
          </w:tcPr>
          <w:p>
            <w:pPr>
              <w:ind w:left="4500"/>
              <w:spacing w:after="0"/>
              <w:rPr>
                <w:sz w:val="20"/>
                <w:szCs w:val="20"/>
                <w:color w:val="auto"/>
              </w:rPr>
            </w:pPr>
            <w:r>
              <w:rPr>
                <w:rFonts w:ascii="Times New Roman" w:cs="Times New Roman" w:eastAsia="Times New Roman" w:hAnsi="Times New Roman"/>
                <w:sz w:val="17"/>
                <w:szCs w:val="17"/>
                <w:color w:val="auto"/>
              </w:rPr>
              <w:t>By:</w:t>
            </w:r>
          </w:p>
        </w:tc>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Kevin D. Howard</w:t>
            </w:r>
          </w:p>
        </w:tc>
      </w:tr>
      <w:tr>
        <w:trPr>
          <w:trHeight w:val="207"/>
        </w:trPr>
        <w:tc>
          <w:tcPr>
            <w:tcW w:w="516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Kevin D. Howard</w:t>
            </w:r>
          </w:p>
        </w:tc>
      </w:tr>
      <w:tr>
        <w:trPr>
          <w:trHeight w:val="226"/>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Date: May 19, 2026</w:t>
            </w:r>
          </w:p>
        </w:tc>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Chief Accounting Officer and Controller</w:t>
            </w:r>
          </w:p>
        </w:tc>
      </w:tr>
    </w:tbl>
    <w:p>
      <w:pPr>
        <w:spacing w:after="0" w:line="200" w:lineRule="exact"/>
        <w:rPr>
          <w:sz w:val="20"/>
          <w:szCs w:val="20"/>
          <w:color w:val="auto"/>
        </w:rPr>
      </w:pPr>
    </w:p>
    <w:p>
      <w:pPr>
        <w:spacing w:after="0" w:line="28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CCO Holdings Capital Corp.</w:t>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Registrant</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160" w:type="dxa"/>
            <w:vAlign w:val="bottom"/>
          </w:tcPr>
          <w:p>
            <w:pPr>
              <w:ind w:left="4500"/>
              <w:spacing w:after="0"/>
              <w:rPr>
                <w:sz w:val="20"/>
                <w:szCs w:val="20"/>
                <w:color w:val="auto"/>
              </w:rPr>
            </w:pPr>
            <w:r>
              <w:rPr>
                <w:rFonts w:ascii="Times New Roman" w:cs="Times New Roman" w:eastAsia="Times New Roman" w:hAnsi="Times New Roman"/>
                <w:sz w:val="17"/>
                <w:szCs w:val="17"/>
                <w:color w:val="auto"/>
              </w:rPr>
              <w:t>By:</w:t>
            </w:r>
          </w:p>
        </w:tc>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Kevin D. Howard</w:t>
            </w:r>
          </w:p>
        </w:tc>
      </w:tr>
      <w:tr>
        <w:trPr>
          <w:trHeight w:val="207"/>
        </w:trPr>
        <w:tc>
          <w:tcPr>
            <w:tcW w:w="516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Kevin D. Howard</w:t>
            </w:r>
          </w:p>
        </w:tc>
      </w:tr>
      <w:tr>
        <w:trPr>
          <w:trHeight w:val="226"/>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Date: May 19, 2026</w:t>
            </w:r>
          </w:p>
        </w:tc>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Chief Accounting Officer and Controller</w:t>
            </w:r>
          </w:p>
        </w:tc>
      </w:tr>
    </w:tbl>
    <w:p>
      <w:pPr>
        <w:sectPr>
          <w:pgSz w:w="11900" w:h="16838" w:orient="portrait"/>
          <w:cols w:equalWidth="0" w:num="1">
            <w:col w:w="11240"/>
          </w:cols>
          <w:pgMar w:left="320" w:top="85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EMPLOYMENT AGREEMENT</w:t>
      </w:r>
    </w:p>
    <w:p>
      <w:pPr>
        <w:spacing w:after="0" w:line="237" w:lineRule="exact"/>
        <w:rPr>
          <w:sz w:val="20"/>
          <w:szCs w:val="20"/>
          <w:color w:val="auto"/>
        </w:rPr>
      </w:pPr>
    </w:p>
    <w:p>
      <w:pPr>
        <w:jc w:val="both"/>
        <w:ind w:firstLine="1242"/>
        <w:spacing w:after="0" w:line="273"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by and between Charter Communications,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Jamal Haughton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is dated as of May 15, 2026.</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RECITALS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242"/>
        <w:spacing w:after="0" w:line="258" w:lineRule="auto"/>
        <w:rPr>
          <w:sz w:val="20"/>
          <w:szCs w:val="20"/>
          <w:color w:val="auto"/>
        </w:rPr>
      </w:pPr>
      <w:r>
        <w:rPr>
          <w:rFonts w:ascii="Times New Roman" w:cs="Times New Roman" w:eastAsia="Times New Roman" w:hAnsi="Times New Roman"/>
          <w:sz w:val="21"/>
          <w:szCs w:val="21"/>
          <w:color w:val="auto"/>
        </w:rPr>
        <w:t>WHEREAS, it is the desire of the Company to assure itself of the continued services of Executive by continuing to engage Executive as its Executive Vice President, General Counsel &amp; Corporate Secretary and the Executive desires to serve the Company on the terms herein provided;</w:t>
      </w:r>
    </w:p>
    <w:p>
      <w:pPr>
        <w:spacing w:after="0" w:line="191" w:lineRule="exact"/>
        <w:rPr>
          <w:sz w:val="20"/>
          <w:szCs w:val="20"/>
          <w:color w:val="auto"/>
        </w:rPr>
      </w:pPr>
    </w:p>
    <w:p>
      <w:pPr>
        <w:jc w:val="both"/>
        <w:ind w:firstLine="1242"/>
        <w:spacing w:after="0" w:line="285" w:lineRule="auto"/>
        <w:rPr>
          <w:sz w:val="20"/>
          <w:szCs w:val="20"/>
          <w:color w:val="auto"/>
        </w:rPr>
      </w:pPr>
      <w:r>
        <w:rPr>
          <w:rFonts w:ascii="Times New Roman" w:cs="Times New Roman" w:eastAsia="Times New Roman" w:hAnsi="Times New Roman"/>
          <w:sz w:val="21"/>
          <w:szCs w:val="21"/>
          <w:color w:val="auto"/>
        </w:rPr>
        <w:t>WHEREAS, Executive and the Company are party to an employment agreement dated and effective as of October 6, 2023 (the “</w:t>
      </w:r>
      <w:r>
        <w:rPr>
          <w:rFonts w:ascii="Times New Roman" w:cs="Times New Roman" w:eastAsia="Times New Roman" w:hAnsi="Times New Roman"/>
          <w:sz w:val="21"/>
          <w:szCs w:val="21"/>
          <w:u w:val="single" w:color="auto"/>
          <w:color w:val="auto"/>
        </w:rPr>
        <w:t>Prior Employment Agreement</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both"/>
        <w:ind w:firstLine="1242"/>
        <w:spacing w:after="0" w:line="277" w:lineRule="auto"/>
        <w:rPr>
          <w:sz w:val="20"/>
          <w:szCs w:val="20"/>
          <w:color w:val="auto"/>
        </w:rPr>
      </w:pPr>
      <w:r>
        <w:rPr>
          <w:rFonts w:ascii="Times New Roman" w:cs="Times New Roman" w:eastAsia="Times New Roman" w:hAnsi="Times New Roman"/>
          <w:sz w:val="20"/>
          <w:szCs w:val="20"/>
          <w:color w:val="auto"/>
        </w:rPr>
        <w:t>WHEREAS, Executive and the Company (each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desire to enter into this Agreement, as an amendment and restatement of the Prior Employment Agreement in order for the Company and its affiliates to continue to engage the services of Executive and Executive desires to continue to serve the Company on the terms herein provided; and</w:t>
      </w:r>
    </w:p>
    <w:p>
      <w:pPr>
        <w:spacing w:after="0" w:line="174" w:lineRule="exact"/>
        <w:rPr>
          <w:sz w:val="20"/>
          <w:szCs w:val="20"/>
          <w:color w:val="auto"/>
        </w:rPr>
      </w:pPr>
    </w:p>
    <w:p>
      <w:pPr>
        <w:jc w:val="both"/>
        <w:ind w:firstLine="1242"/>
        <w:spacing w:after="0" w:line="273" w:lineRule="auto"/>
        <w:rPr>
          <w:sz w:val="20"/>
          <w:szCs w:val="20"/>
          <w:color w:val="auto"/>
        </w:rPr>
      </w:pPr>
      <w:r>
        <w:rPr>
          <w:rFonts w:ascii="Times New Roman" w:cs="Times New Roman" w:eastAsia="Times New Roman" w:hAnsi="Times New Roman"/>
          <w:sz w:val="21"/>
          <w:szCs w:val="21"/>
          <w:color w:val="auto"/>
        </w:rPr>
        <w:t>WHEREAS, Executive’s agreement to the terms and conditions of Sections 14, 15 and 16 are a material and essential condition of Executive’s employment with the Company under the terms of this Agreement.</w:t>
      </w:r>
    </w:p>
    <w:p>
      <w:pPr>
        <w:spacing w:after="0" w:line="188" w:lineRule="exact"/>
        <w:rPr>
          <w:sz w:val="20"/>
          <w:szCs w:val="20"/>
          <w:color w:val="auto"/>
        </w:rPr>
      </w:pPr>
    </w:p>
    <w:p>
      <w:pPr>
        <w:jc w:val="both"/>
        <w:ind w:firstLine="1242"/>
        <w:spacing w:after="0" w:line="273" w:lineRule="auto"/>
        <w:rPr>
          <w:sz w:val="20"/>
          <w:szCs w:val="20"/>
          <w:color w:val="auto"/>
        </w:rPr>
      </w:pPr>
      <w:r>
        <w:rPr>
          <w:rFonts w:ascii="Times New Roman" w:cs="Times New Roman" w:eastAsia="Times New Roman" w:hAnsi="Times New Roman"/>
          <w:sz w:val="21"/>
          <w:szCs w:val="21"/>
          <w:color w:val="auto"/>
        </w:rPr>
        <w:t>NOW, THEREFORE, in consideration of the foregoing and of the respective covenants and agreements set forth below, the Parties agree as follows:</w:t>
      </w:r>
    </w:p>
    <w:p>
      <w:pPr>
        <w:spacing w:after="0" w:line="175" w:lineRule="exact"/>
        <w:rPr>
          <w:sz w:val="20"/>
          <w:szCs w:val="20"/>
          <w:color w:val="auto"/>
        </w:rPr>
      </w:pPr>
    </w:p>
    <w:p>
      <w:pPr>
        <w:ind w:left="1240" w:hanging="616"/>
        <w:spacing w:after="0"/>
        <w:tabs>
          <w:tab w:leader="none" w:pos="12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Certain Definitions</w:t>
      </w:r>
      <w:r>
        <w:rPr>
          <w:rFonts w:ascii="Times New Roman" w:cs="Times New Roman" w:eastAsia="Times New Roman" w:hAnsi="Times New Roman"/>
          <w:sz w:val="21"/>
          <w:szCs w:val="21"/>
          <w:color w:val="auto"/>
        </w:rPr>
        <w:t>.</w:t>
      </w:r>
    </w:p>
    <w:p>
      <w:pPr>
        <w:spacing w:after="0" w:line="250" w:lineRule="exact"/>
        <w:rPr>
          <w:rFonts w:ascii="Times New Roman" w:cs="Times New Roman" w:eastAsia="Times New Roman" w:hAnsi="Times New Roman"/>
          <w:sz w:val="19"/>
          <w:szCs w:val="19"/>
          <w:color w:val="auto"/>
        </w:rPr>
      </w:pPr>
    </w:p>
    <w:p>
      <w:pPr>
        <w:ind w:left="1860" w:hanging="615"/>
        <w:spacing w:after="0"/>
        <w:tabs>
          <w:tab w:leader="none" w:pos="1860" w:val="left"/>
        </w:tabs>
        <w:numPr>
          <w:ilvl w:val="1"/>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shall have the meaning set forth in Section 12(b).</w:t>
      </w:r>
    </w:p>
    <w:p>
      <w:pPr>
        <w:spacing w:after="0" w:line="237" w:lineRule="exact"/>
        <w:rPr>
          <w:rFonts w:ascii="Times New Roman" w:cs="Times New Roman" w:eastAsia="Times New Roman" w:hAnsi="Times New Roman"/>
          <w:sz w:val="19"/>
          <w:szCs w:val="19"/>
          <w:color w:val="auto"/>
        </w:rPr>
      </w:pPr>
    </w:p>
    <w:p>
      <w:pPr>
        <w:ind w:left="1860" w:hanging="615"/>
        <w:spacing w:after="0"/>
        <w:tabs>
          <w:tab w:leader="none" w:pos="1860"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shall have the meaning set forth in the preamble hereto.</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Annual Base Salary</w:t>
      </w:r>
      <w:r>
        <w:rPr>
          <w:rFonts w:ascii="Times New Roman" w:cs="Times New Roman" w:eastAsia="Times New Roman" w:hAnsi="Times New Roman"/>
          <w:sz w:val="21"/>
          <w:szCs w:val="21"/>
          <w:color w:val="auto"/>
        </w:rPr>
        <w:t>” shall have the meaning set forth in Section 5.</w:t>
      </w:r>
    </w:p>
    <w:p>
      <w:pPr>
        <w:spacing w:after="0" w:line="250"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shall mean the Board of Directors of the Company.</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shall have the meaning set forth in Section 6.</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Bonus Year</w:t>
      </w:r>
      <w:r>
        <w:rPr>
          <w:rFonts w:ascii="Times New Roman" w:cs="Times New Roman" w:eastAsia="Times New Roman" w:hAnsi="Times New Roman"/>
          <w:sz w:val="21"/>
          <w:szCs w:val="21"/>
          <w:color w:val="auto"/>
        </w:rPr>
        <w:t>” shall have the meaning set forth in Section 6.</w:t>
      </w:r>
    </w:p>
    <w:p>
      <w:pPr>
        <w:sectPr>
          <w:pgSz w:w="11900" w:h="16838" w:orient="portrait"/>
          <w:cols w:equalWidth="0" w:num="1">
            <w:col w:w="11240"/>
          </w:cols>
          <w:pgMar w:left="320" w:top="123" w:right="339" w:bottom="1440" w:gutter="0" w:footer="0" w:header="0"/>
        </w:sectPr>
      </w:pPr>
    </w:p>
    <w:bookmarkStart w:id="4" w:name="page5"/>
    <w:bookmarkEnd w:id="4"/>
    <w:p>
      <w:pPr>
        <w:ind w:left="1860" w:hanging="615"/>
        <w:spacing w:after="0"/>
        <w:tabs>
          <w:tab w:leader="none" w:pos="18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to terminate Executive’s employment hereunder upon:</w:t>
      </w:r>
    </w:p>
    <w:p>
      <w:pPr>
        <w:spacing w:after="0" w:line="237" w:lineRule="exact"/>
        <w:rPr>
          <w:rFonts w:ascii="Times New Roman" w:cs="Times New Roman" w:eastAsia="Times New Roman" w:hAnsi="Times New Roman"/>
          <w:sz w:val="21"/>
          <w:szCs w:val="21"/>
          <w:color w:val="auto"/>
        </w:rPr>
      </w:pPr>
    </w:p>
    <w:p>
      <w:pPr>
        <w:jc w:val="both"/>
        <w:ind w:firstLine="1866"/>
        <w:spacing w:after="0" w:line="252" w:lineRule="auto"/>
        <w:tabs>
          <w:tab w:leader="none" w:pos="2472"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willful breach of a material obligation (which, if curable, is not cured within ten (10) business days after the Company provides written notice of such breach) or representation under this Agreement; Executive’s willful breach of any fiduciary duty to the Company or any entity controlling, controlled by or under common control with the Company (each such entity, an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which, if curable, is not cured within ten (10) business days after the Company provides written notice of such breach; or any act of fraud or willful and material misrepresentation or concealment upon, to or from the Company, any of its affiliates, or the Board;</w:t>
      </w:r>
    </w:p>
    <w:p>
      <w:pPr>
        <w:spacing w:after="0" w:line="199" w:lineRule="exact"/>
        <w:rPr>
          <w:rFonts w:ascii="Times New Roman" w:cs="Times New Roman" w:eastAsia="Times New Roman" w:hAnsi="Times New Roman"/>
          <w:sz w:val="21"/>
          <w:szCs w:val="21"/>
          <w:color w:val="auto"/>
        </w:rPr>
      </w:pPr>
    </w:p>
    <w:p>
      <w:pPr>
        <w:jc w:val="both"/>
        <w:ind w:firstLine="1866"/>
        <w:spacing w:after="0" w:line="251" w:lineRule="auto"/>
        <w:tabs>
          <w:tab w:leader="none" w:pos="2478"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Executive’s willful failure to comply in any material respect with (A) the Company’s Code of Conduct in effect from time to time and applicable to officers and/or employees generally; or (B) any written Company policy, if such policy is material to the effective performance by Executive of Executive’s duties under this Agreement, and, if such failure is curable, if Executive has been given a reasonable opportunity to cure this failure to comply within a period of time which is reasonable under the circumstances but not more than the thirty (30)-day period after written notice of such failure is provided to Executive;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Executive cures this failure and then fails again to comply with the same provision of the Code of Conduct or the same written Company policy, no further opportunity to cure that failure shall be required;</w:t>
      </w:r>
    </w:p>
    <w:p>
      <w:pPr>
        <w:spacing w:after="0" w:line="211" w:lineRule="exact"/>
        <w:rPr>
          <w:rFonts w:ascii="Times New Roman" w:cs="Times New Roman" w:eastAsia="Times New Roman" w:hAnsi="Times New Roman"/>
          <w:sz w:val="21"/>
          <w:szCs w:val="21"/>
          <w:color w:val="auto"/>
        </w:rPr>
      </w:pPr>
    </w:p>
    <w:p>
      <w:pPr>
        <w:ind w:firstLine="1866"/>
        <w:spacing w:after="0" w:line="273" w:lineRule="auto"/>
        <w:tabs>
          <w:tab w:leader="none" w:pos="2484"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misappropriation (or attempted misappropriation) of a material amount of the funds or property of the Company or any of its affiliates;</w:t>
      </w:r>
    </w:p>
    <w:p>
      <w:pPr>
        <w:spacing w:after="0" w:line="175" w:lineRule="exact"/>
        <w:rPr>
          <w:rFonts w:ascii="Times New Roman" w:cs="Times New Roman" w:eastAsia="Times New Roman" w:hAnsi="Times New Roman"/>
          <w:sz w:val="21"/>
          <w:szCs w:val="21"/>
          <w:color w:val="auto"/>
        </w:rPr>
      </w:pPr>
    </w:p>
    <w:p>
      <w:pPr>
        <w:jc w:val="both"/>
        <w:ind w:firstLine="1866"/>
        <w:spacing w:after="0" w:line="258" w:lineRule="auto"/>
        <w:tabs>
          <w:tab w:leader="none" w:pos="2472"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conviction of, the entering of a guilty plea or plea of nolo contendere or no contest (or the equivalent), with respect to (A) either a felony or a crime that materially adversely affects, or could reasonably be expected to materially adversely affect, the Company, any of its affiliates, or its business reputation; or (B) fraud, embezzlement, or any felony offense involving dishonesty or constituting a breach of trust or moral turpitude;</w:t>
      </w:r>
    </w:p>
    <w:p>
      <w:pPr>
        <w:spacing w:after="0" w:line="190" w:lineRule="exact"/>
        <w:rPr>
          <w:rFonts w:ascii="Times New Roman" w:cs="Times New Roman" w:eastAsia="Times New Roman" w:hAnsi="Times New Roman"/>
          <w:sz w:val="21"/>
          <w:szCs w:val="21"/>
          <w:color w:val="auto"/>
        </w:rPr>
      </w:pPr>
    </w:p>
    <w:p>
      <w:pPr>
        <w:jc w:val="both"/>
        <w:ind w:firstLine="1866"/>
        <w:spacing w:after="0" w:line="250" w:lineRule="auto"/>
        <w:tabs>
          <w:tab w:leader="none" w:pos="2479"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Executive’s admission of liability of, or finding of liability by a court of competent jurisdiction for, a knowing and deliberate violation of any “Securities Laws”;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termination of Executive by the Company for Cause pursuant to this clause (v) based on the finding of liability by a court shall be treated instead for all purposes of this Agreement as a termination by the Company without Cause, with effect as of the date of such termination, if such finding is reversed on appeal in a decision from which an appeal may not be taken or as to which the time to appeal has expired. As used herein, the term “Securities Laws” means any federal or state law, rule or regulation governing generally the issuance or exchange of securities, including without limitation the Securities Act of 1933, as amended, and the rules and regulations promulgated thereunder, and the Securities Exchange Act of 1934, as amended, and the rules and regulations promulgated thereunder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67" w:right="339" w:bottom="1440" w:gutter="0" w:footer="0" w:header="0"/>
        </w:sectPr>
      </w:pPr>
    </w:p>
    <w:bookmarkStart w:id="5" w:name="page6"/>
    <w:bookmarkEnd w:id="5"/>
    <w:p>
      <w:pPr>
        <w:jc w:val="both"/>
        <w:ind w:firstLine="1866"/>
        <w:spacing w:after="0" w:line="258" w:lineRule="auto"/>
        <w:tabs>
          <w:tab w:leader="none" w:pos="247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illegal possession or use of any controlled substance or excessive use of alcohol, in each case at a work function, in connection with Executive’s duties, or on Company premises; “excessive” meaning either repeated unprofessional use or any single event of consumption giving rise to significant intoxication or unprofessional behavior; or</w:t>
      </w:r>
    </w:p>
    <w:p>
      <w:pPr>
        <w:spacing w:after="0" w:line="204" w:lineRule="exact"/>
        <w:rPr>
          <w:rFonts w:ascii="Times New Roman" w:cs="Times New Roman" w:eastAsia="Times New Roman" w:hAnsi="Times New Roman"/>
          <w:sz w:val="21"/>
          <w:szCs w:val="21"/>
          <w:color w:val="auto"/>
        </w:rPr>
      </w:pPr>
    </w:p>
    <w:p>
      <w:pPr>
        <w:jc w:val="both"/>
        <w:ind w:firstLine="1866"/>
        <w:spacing w:after="0" w:line="253" w:lineRule="auto"/>
        <w:tabs>
          <w:tab w:leader="none" w:pos="2478"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willful or grossly negligent commission of any other act or willful failure to act in connection with Executive’s duties as an executive of the Company which causes or should reasonably be expected (as of the time of such occurrence) to cause substantial economic injury to or substantial injury to the business reputation of the Company or any of its affiliates, including, without limitation, any material violation of the FCPA, as described herein below.</w:t>
      </w:r>
    </w:p>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No termination of Executive’s employment shall be effective as a termination for Cause for purposes of this Agreement or any other Company Arrangements unless Executive shall first have been given written notice by the Board of its intention to terminate Executive’s employment for Cause, such notice (the “</w:t>
      </w:r>
      <w:r>
        <w:rPr>
          <w:rFonts w:ascii="Times New Roman" w:cs="Times New Roman" w:eastAsia="Times New Roman" w:hAnsi="Times New Roman"/>
          <w:sz w:val="21"/>
          <w:szCs w:val="21"/>
          <w:u w:val="single" w:color="auto"/>
          <w:color w:val="auto"/>
        </w:rPr>
        <w:t>Cause Notice</w:t>
      </w:r>
      <w:r>
        <w:rPr>
          <w:rFonts w:ascii="Times New Roman" w:cs="Times New Roman" w:eastAsia="Times New Roman" w:hAnsi="Times New Roman"/>
          <w:sz w:val="21"/>
          <w:szCs w:val="21"/>
          <w:color w:val="auto"/>
        </w:rPr>
        <w:t>”) to state in detail the particular circumstances that constitute the grounds on which the proposed termination for Cause is based. If, within twenty (20) calendar days after such Cause Notice is given to Executive, the Board gives written notice to Executive confirming that, in the judgment of at least a majority of the members of the Board, Cause for terminating Executive’s employment on the basis set forth in the original Cause Notice exists, Executive’s employment hereunder shall thereupon be terminated for Cause, subject to de novo review, at Executive’s election, through arbitration in accordance with Section 28. If Executive commits or is charged with committing any offense of the character or type specified in subparagraph 1(d)(iv), (v) or (vi) herein, then the Company at its option may suspend Executive with or without pay and such suspension shall not constitute Good Reason hereunder or for purposes of any other Company Arrangements. If Executive subsequently is convicted of, pleads guilty or nolo contendere (or equivalent plea) to, any such offense, Executive shall immediately repay the after-tax amount of any compensation paid in cash hereunder from the date of the suspension. Notwithstanding anything to the contrary in any stock option or equity incentive plan or award agreement, all vesting and all lapsing of restrictions on equity awards shall be tolled during the period of suspension and all unvested equity awards for which the restrictions have not lapsed shall terminate and not be exercisable by or issued to Executive if during or after such suspension Executive is convicted of, pleads guilty or nolo contendere (or equivalent plea) to, any offense specified in subparagraph 1(d)(iv) or (v). However, if Executive is found not guilty of all offenses relating to Executive’s suspension, or the charges relating to all such offenses are otherwise dropped, Executive shall be entitled to immediate payment of any amounts not paid during the suspension and any awards as to which the vesting or lapsing of restrictions was tolled shall immediately vest and applicable restrictions shall immediately lapse.</w:t>
      </w:r>
    </w:p>
    <w:p>
      <w:pPr>
        <w:spacing w:after="0" w:line="213" w:lineRule="exact"/>
        <w:rPr>
          <w:sz w:val="20"/>
          <w:szCs w:val="20"/>
          <w:color w:val="auto"/>
        </w:rPr>
      </w:pPr>
    </w:p>
    <w:p>
      <w:pPr>
        <w:ind w:left="1860" w:hanging="615"/>
        <w:spacing w:after="0"/>
        <w:tabs>
          <w:tab w:leader="none" w:pos="18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mean the occurrence of any of the following events:</w:t>
      </w:r>
    </w:p>
    <w:p>
      <w:pPr>
        <w:spacing w:after="0" w:line="237" w:lineRule="exact"/>
        <w:rPr>
          <w:rFonts w:ascii="Times New Roman" w:cs="Times New Roman" w:eastAsia="Times New Roman" w:hAnsi="Times New Roman"/>
          <w:sz w:val="21"/>
          <w:szCs w:val="21"/>
          <w:color w:val="auto"/>
        </w:rPr>
      </w:pPr>
    </w:p>
    <w:p>
      <w:pPr>
        <w:ind w:firstLine="1866"/>
        <w:spacing w:after="0" w:line="273" w:lineRule="auto"/>
        <w:tabs>
          <w:tab w:leader="none" w:pos="2472"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acquisition of any voting securities of the Company by any “Person” or “Group” (as those terms are used for purposes of Section 13(d) or 14(d)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7"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Exchange Act), immediately after which such Person has “Beneficial Ownership” (within the meaning of Rule 13d-3 promulgated under the Exchange Act) of thirty-five percent (35%) or more of the combined voting power of the Company’s then-outstanding voting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acquisition of voting securities in a “Non-Control Transaction” (as hereinafter defined) shall not constitute a Change in Control;</w:t>
      </w:r>
    </w:p>
    <w:p>
      <w:pPr>
        <w:spacing w:after="0" w:line="191" w:lineRule="exact"/>
        <w:rPr>
          <w:sz w:val="20"/>
          <w:szCs w:val="20"/>
          <w:color w:val="auto"/>
        </w:rPr>
      </w:pPr>
    </w:p>
    <w:p>
      <w:pPr>
        <w:jc w:val="both"/>
        <w:ind w:firstLine="1866"/>
        <w:spacing w:after="0" w:line="254" w:lineRule="auto"/>
        <w:tabs>
          <w:tab w:leader="none" w:pos="247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individuals who, as of the Effective Date, are members of the Board (the “</w:t>
      </w:r>
      <w:r>
        <w:rPr>
          <w:rFonts w:ascii="Times New Roman" w:cs="Times New Roman" w:eastAsia="Times New Roman" w:hAnsi="Times New Roman"/>
          <w:sz w:val="21"/>
          <w:szCs w:val="21"/>
          <w:u w:val="single" w:color="auto"/>
          <w:color w:val="auto"/>
        </w:rPr>
        <w:t>Incumbent Board</w:t>
      </w:r>
      <w:r>
        <w:rPr>
          <w:rFonts w:ascii="Times New Roman" w:cs="Times New Roman" w:eastAsia="Times New Roman" w:hAnsi="Times New Roman"/>
          <w:sz w:val="21"/>
          <w:szCs w:val="21"/>
          <w:color w:val="auto"/>
        </w:rPr>
        <w:t xml:space="preserve">”), cease for any reason to constitute a majority of the Board;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election, or nomination for election by the Company’s common stockholders, of any new director (excluding any director whose nomination or election to the Board is the result of any actual or threatened proxy contest or settlement thereof) was approved by a vote of at least a majority of the Incumbent Board, such new director shall, for purposes of this Agreement, be considered as a member of the Incumbent Board;</w:t>
      </w:r>
    </w:p>
    <w:p>
      <w:pPr>
        <w:spacing w:after="0" w:line="196" w:lineRule="exact"/>
        <w:rPr>
          <w:rFonts w:ascii="Times New Roman" w:cs="Times New Roman" w:eastAsia="Times New Roman" w:hAnsi="Times New Roman"/>
          <w:sz w:val="21"/>
          <w:szCs w:val="21"/>
          <w:color w:val="auto"/>
        </w:rPr>
      </w:pPr>
    </w:p>
    <w:p>
      <w:pPr>
        <w:jc w:val="both"/>
        <w:ind w:firstLine="1866"/>
        <w:spacing w:after="0" w:line="249" w:lineRule="auto"/>
        <w:tabs>
          <w:tab w:leader="none" w:pos="2484"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or reorganization with or into the Company or in which securities of the Company are issued (a “</w:t>
      </w:r>
      <w:r>
        <w:rPr>
          <w:rFonts w:ascii="Times New Roman" w:cs="Times New Roman" w:eastAsia="Times New Roman" w:hAnsi="Times New Roman"/>
          <w:sz w:val="21"/>
          <w:szCs w:val="21"/>
          <w:u w:val="single" w:color="auto"/>
          <w:color w:val="auto"/>
        </w:rPr>
        <w:t>Merger</w:t>
      </w:r>
      <w:r>
        <w:rPr>
          <w:rFonts w:ascii="Times New Roman" w:cs="Times New Roman" w:eastAsia="Times New Roman" w:hAnsi="Times New Roman"/>
          <w:sz w:val="21"/>
          <w:szCs w:val="21"/>
          <w:color w:val="auto"/>
        </w:rPr>
        <w:t>”), unless such Merger is a Non-Control Transaction. A “</w:t>
      </w:r>
      <w:r>
        <w:rPr>
          <w:rFonts w:ascii="Times New Roman" w:cs="Times New Roman" w:eastAsia="Times New Roman" w:hAnsi="Times New Roman"/>
          <w:sz w:val="21"/>
          <w:szCs w:val="21"/>
          <w:u w:val="single" w:color="auto"/>
          <w:color w:val="auto"/>
        </w:rPr>
        <w:t>Non-Control Transaction</w:t>
      </w:r>
      <w:r>
        <w:rPr>
          <w:rFonts w:ascii="Times New Roman" w:cs="Times New Roman" w:eastAsia="Times New Roman" w:hAnsi="Times New Roman"/>
          <w:sz w:val="21"/>
          <w:szCs w:val="21"/>
          <w:color w:val="auto"/>
        </w:rPr>
        <w:t>” shall mean a Merger where: (1) the stockholders of the Company immediately before such Merger own, directly or indirectly, immediately following such Merger more than fifty percent (50%) of the combined voting power of the outstanding voting securities of the entity resulting from such Merger or its controlling parent entity (the “</w:t>
      </w:r>
      <w:r>
        <w:rPr>
          <w:rFonts w:ascii="Times New Roman" w:cs="Times New Roman" w:eastAsia="Times New Roman" w:hAnsi="Times New Roman"/>
          <w:sz w:val="21"/>
          <w:szCs w:val="21"/>
          <w:u w:val="single" w:color="auto"/>
          <w:color w:val="auto"/>
        </w:rPr>
        <w:t>Surviving Entity</w:t>
      </w:r>
      <w:r>
        <w:rPr>
          <w:rFonts w:ascii="Times New Roman" w:cs="Times New Roman" w:eastAsia="Times New Roman" w:hAnsi="Times New Roman"/>
          <w:sz w:val="21"/>
          <w:szCs w:val="21"/>
          <w:color w:val="auto"/>
        </w:rPr>
        <w:t>”), (2) the individuals who were members of the Incumbent Board immediately prior to the execution of the agreement providing for such Merger constitute at least a majority of the members of the board of directors (or similar governing body) of the Surviving Entity, and (3) no Person other than (X) the Company, its affiliates or any of their respective employee benefit plans (or any trust forming a part thereof) that, immediately prior to such Merger, was maintained by the Company or any affiliate of the Company, or (Y) any Person who, immediately prior to such Merger, had Beneficial Ownership of thirty-five percent (35%) or more of the then-outstanding voting securities of the Company, has Beneficial Ownership of thirty-five percent (35%) or more of the combined voting power of the outstanding voting securities or common stock of the Surviving Entity;</w:t>
      </w:r>
    </w:p>
    <w:p>
      <w:pPr>
        <w:spacing w:after="0" w:line="201" w:lineRule="exact"/>
        <w:rPr>
          <w:rFonts w:ascii="Times New Roman" w:cs="Times New Roman" w:eastAsia="Times New Roman" w:hAnsi="Times New Roman"/>
          <w:sz w:val="21"/>
          <w:szCs w:val="21"/>
          <w:color w:val="auto"/>
        </w:rPr>
      </w:pPr>
    </w:p>
    <w:p>
      <w:pPr>
        <w:jc w:val="both"/>
        <w:ind w:firstLine="1866"/>
        <w:spacing w:after="0" w:line="258" w:lineRule="auto"/>
        <w:tabs>
          <w:tab w:leader="none" w:pos="247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approval by the holders of the Company’s then-outstanding voting securities of a complete liquidation or dissolution of the Company (other than where all or substantially all of the assets of the Company are transferred to or remain with affiliates of the Company); or</w:t>
      </w:r>
    </w:p>
    <w:p>
      <w:pPr>
        <w:spacing w:after="0" w:line="204" w:lineRule="exact"/>
        <w:rPr>
          <w:rFonts w:ascii="Times New Roman" w:cs="Times New Roman" w:eastAsia="Times New Roman" w:hAnsi="Times New Roman"/>
          <w:sz w:val="21"/>
          <w:szCs w:val="21"/>
          <w:color w:val="auto"/>
        </w:rPr>
      </w:pPr>
    </w:p>
    <w:p>
      <w:pPr>
        <w:jc w:val="both"/>
        <w:ind w:firstLine="1866"/>
        <w:spacing w:after="0" w:line="253" w:lineRule="auto"/>
        <w:tabs>
          <w:tab w:leader="none" w:pos="2479"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or other disposition of all or substantially all of the assets of the Company and its direct and indirect subsidiaries on a consolidated basis, directly or indirectly, to any Person (other than a transfer to an affiliate of the Company) unless such sale or disposition constitutes a Non-Control Transaction (with the disposition of assets being regarded as a Merger for this purpose).</w:t>
      </w:r>
    </w:p>
    <w:p>
      <w:pPr>
        <w:spacing w:after="0" w:line="198" w:lineRule="exact"/>
        <w:rPr>
          <w:sz w:val="20"/>
          <w:szCs w:val="20"/>
          <w:color w:val="auto"/>
        </w:rPr>
      </w:pPr>
    </w:p>
    <w:p>
      <w:pPr>
        <w:ind w:firstLine="1242"/>
        <w:spacing w:after="0" w:line="273" w:lineRule="auto"/>
        <w:rPr>
          <w:sz w:val="20"/>
          <w:szCs w:val="20"/>
          <w:color w:val="auto"/>
        </w:rPr>
      </w:pPr>
      <w:r>
        <w:rPr>
          <w:rFonts w:ascii="Times New Roman" w:cs="Times New Roman" w:eastAsia="Times New Roman" w:hAnsi="Times New Roman"/>
          <w:sz w:val="21"/>
          <w:szCs w:val="21"/>
          <w:color w:val="auto"/>
        </w:rPr>
        <w:t>Notwithstanding the foregoing, a Change in Control shall not occur solely based on a filing of a Chapter 11 reorganization proceeding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67" w:right="339" w:bottom="1440" w:gutter="0" w:footer="0" w:header="0"/>
        </w:sectPr>
      </w:pPr>
    </w:p>
    <w:bookmarkStart w:id="7" w:name="page8"/>
    <w:bookmarkEnd w:id="7"/>
    <w:p>
      <w:pPr>
        <w:ind w:firstLine="1245"/>
        <w:spacing w:after="0" w:line="273" w:lineRule="auto"/>
        <w:tabs>
          <w:tab w:leader="none" w:pos="185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Internal Revenue Code of 1986, as amended from time to time, and the rules and regulations promulgated thereunder.</w:t>
      </w:r>
    </w:p>
    <w:p>
      <w:pPr>
        <w:spacing w:after="0" w:line="175" w:lineRule="exact"/>
        <w:rPr>
          <w:rFonts w:ascii="Times New Roman" w:cs="Times New Roman" w:eastAsia="Times New Roman" w:hAnsi="Times New Roman"/>
          <w:sz w:val="21"/>
          <w:szCs w:val="21"/>
          <w:color w:val="auto"/>
        </w:rPr>
      </w:pPr>
    </w:p>
    <w:p>
      <w:pPr>
        <w:ind w:firstLine="1245"/>
        <w:spacing w:after="0" w:line="285" w:lineRule="auto"/>
        <w:tabs>
          <w:tab w:leader="none" w:pos="185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shall mean either the Compensation and Benefits Committee of the Board, or a subcommittee of such Committee duly appointed by the Board or the Committee, or any successor to the functions thereof.</w:t>
      </w:r>
    </w:p>
    <w:p>
      <w:pPr>
        <w:spacing w:after="0" w:line="163"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have the meaning set forth in the preamble hereto.</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Arrangements</w:t>
      </w:r>
      <w:r>
        <w:rPr>
          <w:rFonts w:ascii="Times New Roman" w:cs="Times New Roman" w:eastAsia="Times New Roman" w:hAnsi="Times New Roman"/>
          <w:sz w:val="21"/>
          <w:szCs w:val="21"/>
          <w:color w:val="auto"/>
        </w:rPr>
        <w:t>” shall have the meaning set forth in Section 12(g).</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Competitive Business</w:t>
      </w:r>
      <w:r>
        <w:rPr>
          <w:rFonts w:ascii="Times New Roman" w:cs="Times New Roman" w:eastAsia="Times New Roman" w:hAnsi="Times New Roman"/>
          <w:sz w:val="21"/>
          <w:szCs w:val="21"/>
          <w:color w:val="auto"/>
        </w:rPr>
        <w:t>” shall have the meaning set forth in Section 16(b)(i).</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shall have the meaning set forth in Section 14(b)(ii).</w:t>
      </w:r>
    </w:p>
    <w:p>
      <w:pPr>
        <w:spacing w:after="0" w:line="250"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Corporate Office</w:t>
      </w:r>
      <w:r>
        <w:rPr>
          <w:rFonts w:ascii="Times New Roman" w:cs="Times New Roman" w:eastAsia="Times New Roman" w:hAnsi="Times New Roman"/>
          <w:sz w:val="20"/>
          <w:szCs w:val="20"/>
          <w:color w:val="auto"/>
        </w:rPr>
        <w:t>” shall mean the Company’s offices in or near the metropolitan area of Stamford, Connecticut.</w:t>
      </w:r>
    </w:p>
    <w:p>
      <w:pPr>
        <w:spacing w:after="0" w:line="248" w:lineRule="exact"/>
        <w:rPr>
          <w:rFonts w:ascii="Times New Roman" w:cs="Times New Roman" w:eastAsia="Times New Roman" w:hAnsi="Times New Roman"/>
          <w:sz w:val="20"/>
          <w:szCs w:val="20"/>
          <w:color w:val="auto"/>
        </w:rPr>
      </w:pPr>
    </w:p>
    <w:p>
      <w:pPr>
        <w:ind w:left="1860" w:hanging="615"/>
        <w:spacing w:after="0"/>
        <w:tabs>
          <w:tab w:leader="none" w:pos="18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Claims</w:t>
      </w:r>
      <w:r>
        <w:rPr>
          <w:rFonts w:ascii="Times New Roman" w:cs="Times New Roman" w:eastAsia="Times New Roman" w:hAnsi="Times New Roman"/>
          <w:sz w:val="21"/>
          <w:szCs w:val="21"/>
          <w:color w:val="auto"/>
        </w:rPr>
        <w:t>” shall have the meaning set forth in Section 28.</w:t>
      </w:r>
    </w:p>
    <w:p>
      <w:pPr>
        <w:spacing w:after="0" w:line="237" w:lineRule="exact"/>
        <w:rPr>
          <w:rFonts w:ascii="Times New Roman" w:cs="Times New Roman" w:eastAsia="Times New Roman" w:hAnsi="Times New Roman"/>
          <w:sz w:val="21"/>
          <w:szCs w:val="21"/>
          <w:color w:val="auto"/>
        </w:rPr>
      </w:pPr>
    </w:p>
    <w:p>
      <w:pPr>
        <w:jc w:val="both"/>
        <w:ind w:firstLine="1245"/>
        <w:spacing w:after="0" w:line="252" w:lineRule="auto"/>
        <w:tabs>
          <w:tab w:leader="none" w:pos="185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shall mean (i) if Executive’s employment is terminated by Executive’s death, the date of Executive’s death, (ii) if Executive’s employment is terminated pursuant to Section 11(a)(ii)-(vi), the date of termination of employment as provided thereunder, or (iii) if Executive’s employment is terminated due to expiration of the Term, the date of expiration of the Term. After the Date of Termination, unless otherwise agreed by the Parties, Executive shall, to the extent necessary to avoid the imposition of penalty taxes under Section 409A of the Code, have no duties that are inconsistent with Executive having had a “separation from service” as of the Date of Termination for purposes of Section 409A of the Code.</w:t>
      </w:r>
    </w:p>
    <w:p>
      <w:pPr>
        <w:spacing w:after="0" w:line="199" w:lineRule="exact"/>
        <w:rPr>
          <w:rFonts w:ascii="Times New Roman" w:cs="Times New Roman" w:eastAsia="Times New Roman" w:hAnsi="Times New Roman"/>
          <w:sz w:val="21"/>
          <w:szCs w:val="21"/>
          <w:color w:val="auto"/>
        </w:rPr>
      </w:pPr>
    </w:p>
    <w:p>
      <w:pPr>
        <w:jc w:val="both"/>
        <w:ind w:firstLine="1245"/>
        <w:spacing w:after="0" w:line="251" w:lineRule="auto"/>
        <w:tabs>
          <w:tab w:leader="none" w:pos="1863"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Executive will be deemed to have a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if, due to illness, injury or a physical or medically recognized mental condition, (i) Executive is unable to perform Executive’s duties under this Agreement with reasonable accommodation for one hundred twenty (120) consecutive calendar days, or one hundred and eighty (180) calendar days during any twelve (12)-month period, as determined in accordance with this Section 1(r), or (ii) Executive is considered disabled for purposes of receiving/qualifying for long-term disability benefits under any group long-term disability insurance plan or policy offered by the Company in which Executive participates. The Disability of Executive will be determined by a medical doctor selected by written agreement of the Company and Executive upon the request of either Party by notice to the other, or (in the case of and with respect to any applicable long-term disability insurance policy or plan) will be determined according to the terms of the applicable long-term disability insurance policy or plan.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67" w:right="339" w:bottom="1440" w:gutter="0" w:footer="0" w:header="0"/>
        </w:sectPr>
      </w:pPr>
    </w:p>
    <w:bookmarkStart w:id="8" w:name="page9"/>
    <w:bookmarkEnd w:id="8"/>
    <w:p>
      <w:pPr>
        <w:jc w:val="both"/>
        <w:spacing w:after="0" w:line="250" w:lineRule="auto"/>
        <w:rPr>
          <w:sz w:val="20"/>
          <w:szCs w:val="20"/>
          <w:color w:val="auto"/>
        </w:rPr>
      </w:pPr>
      <w:r>
        <w:rPr>
          <w:rFonts w:ascii="Times New Roman" w:cs="Times New Roman" w:eastAsia="Times New Roman" w:hAnsi="Times New Roman"/>
          <w:sz w:val="21"/>
          <w:szCs w:val="21"/>
          <w:color w:val="auto"/>
        </w:rPr>
        <w:t>Company and Executive cannot agree on the selection of a medical doctor, each of them will select a medical doctor and those two medical doctors will select a third medical doctor who will determine whether Executive has a Disability. The determination of the medical doctor selected under this Section 1(r) will be binding on both Parties. Executive must submit to a reasonable number of examinations by the medical doctor making the determination of Disability under this Section 1(r), and to other specialists designated by such medical doctor, and Executive hereby authorizes the disclosure and release to the Company of such determination and all supporting medical records. If Executive is not legally competent, Executive’s legal guardian or duly authorized attorney-in-fact will act in Executive’s stead under this Section 1(r) for the purposes of submitting Executive to the examinations, and providing the authorization of disclosure, required under this Section 1(r).</w:t>
      </w:r>
    </w:p>
    <w:p>
      <w:pPr>
        <w:spacing w:after="0" w:line="213" w:lineRule="exact"/>
        <w:rPr>
          <w:sz w:val="20"/>
          <w:szCs w:val="20"/>
          <w:color w:val="auto"/>
        </w:rPr>
      </w:pPr>
    </w:p>
    <w:p>
      <w:pPr>
        <w:ind w:left="1860" w:hanging="615"/>
        <w:spacing w:after="0"/>
        <w:tabs>
          <w:tab w:leader="none" w:pos="18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Determination</w:t>
      </w:r>
      <w:r>
        <w:rPr>
          <w:rFonts w:ascii="Times New Roman" w:cs="Times New Roman" w:eastAsia="Times New Roman" w:hAnsi="Times New Roman"/>
          <w:sz w:val="21"/>
          <w:szCs w:val="21"/>
          <w:color w:val="auto"/>
        </w:rPr>
        <w:t>” shall have the meaning set forth in Section 13(b).</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Determining Party</w:t>
      </w:r>
      <w:r>
        <w:rPr>
          <w:rFonts w:ascii="Times New Roman" w:cs="Times New Roman" w:eastAsia="Times New Roman" w:hAnsi="Times New Roman"/>
          <w:sz w:val="21"/>
          <w:szCs w:val="21"/>
          <w:color w:val="auto"/>
        </w:rPr>
        <w:t>” shall have the meaning set forth in Section 13(b).</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Developments</w:t>
      </w:r>
      <w:r>
        <w:rPr>
          <w:rFonts w:ascii="Times New Roman" w:cs="Times New Roman" w:eastAsia="Times New Roman" w:hAnsi="Times New Roman"/>
          <w:sz w:val="21"/>
          <w:szCs w:val="21"/>
          <w:color w:val="auto"/>
        </w:rPr>
        <w:t>” shall have the meaning set forth in Section 15.</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shall mean May 15, 2026.</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shall have the meaning set forth in Section 13(a).</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shall have the meaning set forth in the preamble hereto.</w:t>
      </w:r>
    </w:p>
    <w:p>
      <w:pPr>
        <w:spacing w:after="0" w:line="250"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FCPA</w:t>
      </w:r>
      <w:r>
        <w:rPr>
          <w:rFonts w:ascii="Times New Roman" w:cs="Times New Roman" w:eastAsia="Times New Roman" w:hAnsi="Times New Roman"/>
          <w:sz w:val="21"/>
          <w:szCs w:val="21"/>
          <w:color w:val="auto"/>
        </w:rPr>
        <w:t>” shall have the meaning set forth in Section 19.</w:t>
      </w:r>
    </w:p>
    <w:p>
      <w:pPr>
        <w:spacing w:after="0" w:line="237" w:lineRule="exact"/>
        <w:rPr>
          <w:rFonts w:ascii="Times New Roman" w:cs="Times New Roman" w:eastAsia="Times New Roman" w:hAnsi="Times New Roman"/>
          <w:sz w:val="21"/>
          <w:szCs w:val="21"/>
          <w:color w:val="auto"/>
        </w:rPr>
      </w:pPr>
    </w:p>
    <w:p>
      <w:pPr>
        <w:jc w:val="both"/>
        <w:ind w:firstLine="1245"/>
        <w:spacing w:after="0" w:line="248" w:lineRule="auto"/>
        <w:tabs>
          <w:tab w:leader="none" w:pos="18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any of the events described herein that occur without Executive’s prior written consent: (i) any reduction in Executive’s Annual Base Salary or Target Bonus; (ii) any failure to pay or provide Executive’s compensation hereunder when due; (iii) any material breach by the Company of a material term of this Agreement; (iv) a material adverse change of Executive’s title, authorities, duties or responsibilities, including without limitation a transfer or reassignment to another executive of material responsibilities that have been assigned to Executive and generally are part of the responsibilities and functions assigned to an Executive Vice President, General Counsel &amp; Corporate Secretary of a public corporation, or the appointment of another individual to the same or similar titles or position; provided that this clause (iv) shall not apply following the delivery to Executive by the Company of a Non-renewal Notice at any time prior to a Change in Control and within one hundred ninety (190) days prior to the end of the term of this Agreement; (v) relocation of Executive’s primary workplace to a location that is more than fifty (50) miles from the Corporate Office; (vi) any change in reporting structure such that Executive no longer reports directly to the Company’s Chief Executive Officer (or, if the Company becomes a subsidiary of another entity, the Chief Executive Officer of the ultimate parent entity); or (vii) subject to Section 11(a)(vii), Executive’s employment is terminated due to expiration of the Term following the Company’s delivery or deemed delivery to Executive of a Non-renewal Notice (in each case of clauses (i) through (vii) only if Executive objects to the Company in writing within ninety (90) calendar days after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67"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21"/>
          <w:szCs w:val="21"/>
          <w:color w:val="auto"/>
        </w:rPr>
        <w:t>becoming aware of such event and the Company fails to retract and/or rectify the claimed Good Reason event within thirty (30) calendar days following receipt of such notice); or (viii) the failure of a successor to the business of the Company to assume the Company’s obligations under this Agreement in the event of a Change in Control during the Term.</w:t>
      </w:r>
    </w:p>
    <w:p>
      <w:pPr>
        <w:spacing w:after="0" w:line="204" w:lineRule="exact"/>
        <w:rPr>
          <w:sz w:val="20"/>
          <w:szCs w:val="20"/>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Initial Term</w:t>
      </w:r>
      <w:r>
        <w:rPr>
          <w:rFonts w:ascii="Times New Roman" w:cs="Times New Roman" w:eastAsia="Times New Roman" w:hAnsi="Times New Roman"/>
          <w:sz w:val="21"/>
          <w:szCs w:val="21"/>
          <w:color w:val="auto"/>
        </w:rPr>
        <w:t>” shall have the meaning set forth in Section 2.</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IRS</w:t>
      </w:r>
      <w:r>
        <w:rPr>
          <w:rFonts w:ascii="Times New Roman" w:cs="Times New Roman" w:eastAsia="Times New Roman" w:hAnsi="Times New Roman"/>
          <w:sz w:val="21"/>
          <w:szCs w:val="21"/>
          <w:color w:val="auto"/>
        </w:rPr>
        <w:t>” shall mean the Internal Revenue Service.</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Non-renewal Notice</w:t>
      </w:r>
      <w:r>
        <w:rPr>
          <w:rFonts w:ascii="Times New Roman" w:cs="Times New Roman" w:eastAsia="Times New Roman" w:hAnsi="Times New Roman"/>
          <w:sz w:val="21"/>
          <w:szCs w:val="21"/>
          <w:color w:val="auto"/>
        </w:rPr>
        <w:t>” shall have the meaning set forth in Section 2.</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shall have the meaning set forth in Section 11(b).</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Notice Period</w:t>
      </w:r>
      <w:r>
        <w:rPr>
          <w:rFonts w:ascii="Times New Roman" w:cs="Times New Roman" w:eastAsia="Times New Roman" w:hAnsi="Times New Roman"/>
          <w:sz w:val="21"/>
          <w:szCs w:val="21"/>
          <w:color w:val="auto"/>
        </w:rPr>
        <w:t>” shall have the meaning set forth in Section 11(b).</w:t>
      </w:r>
    </w:p>
    <w:p>
      <w:pPr>
        <w:spacing w:after="0" w:line="250"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shall have the meaning set forth in the recitals.</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shall have the meaning set forth in Sections 13(d) and 14(d)(2) of the Exchange Act.</w:t>
      </w:r>
    </w:p>
    <w:p>
      <w:pPr>
        <w:spacing w:after="0" w:line="237" w:lineRule="exact"/>
        <w:rPr>
          <w:rFonts w:ascii="Times New Roman" w:cs="Times New Roman" w:eastAsia="Times New Roman" w:hAnsi="Times New Roman"/>
          <w:sz w:val="21"/>
          <w:szCs w:val="21"/>
          <w:color w:val="auto"/>
        </w:rPr>
      </w:pPr>
    </w:p>
    <w:p>
      <w:pPr>
        <w:ind w:firstLine="1245"/>
        <w:spacing w:after="0" w:line="273" w:lineRule="auto"/>
        <w:tabs>
          <w:tab w:leader="none" w:pos="1858"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shall mean the Company’s 2019 Stock Incentive Plan, as amended by the Company from time to time, and any successor thereto.</w:t>
      </w:r>
    </w:p>
    <w:p>
      <w:pPr>
        <w:spacing w:after="0" w:line="175"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Proprietary Items</w:t>
      </w:r>
      <w:r>
        <w:rPr>
          <w:rFonts w:ascii="Times New Roman" w:cs="Times New Roman" w:eastAsia="Times New Roman" w:hAnsi="Times New Roman"/>
          <w:sz w:val="21"/>
          <w:szCs w:val="21"/>
          <w:color w:val="auto"/>
        </w:rPr>
        <w:t>” shall have the meaning set forth in Section 14(b)(v).</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shall have the meaning set forth in Section 12(h).</w:t>
      </w:r>
    </w:p>
    <w:p>
      <w:pPr>
        <w:spacing w:after="0" w:line="250"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Repayment Amount</w:t>
      </w:r>
      <w:r>
        <w:rPr>
          <w:rFonts w:ascii="Times New Roman" w:cs="Times New Roman" w:eastAsia="Times New Roman" w:hAnsi="Times New Roman"/>
          <w:sz w:val="21"/>
          <w:szCs w:val="21"/>
          <w:color w:val="auto"/>
        </w:rPr>
        <w:t>” shall have the meaning set forth in Section 13(c).</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shall have the meaning set forth in Section 16(b).</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Safe Harbor Amount</w:t>
      </w:r>
      <w:r>
        <w:rPr>
          <w:rFonts w:ascii="Times New Roman" w:cs="Times New Roman" w:eastAsia="Times New Roman" w:hAnsi="Times New Roman"/>
          <w:sz w:val="21"/>
          <w:szCs w:val="21"/>
          <w:color w:val="auto"/>
        </w:rPr>
        <w:t>” shall have the meaning set forth in Section 13(a).</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Target Bonus</w:t>
      </w:r>
      <w:r>
        <w:rPr>
          <w:rFonts w:ascii="Times New Roman" w:cs="Times New Roman" w:eastAsia="Times New Roman" w:hAnsi="Times New Roman"/>
          <w:sz w:val="21"/>
          <w:szCs w:val="21"/>
          <w:color w:val="auto"/>
        </w:rPr>
        <w:t>” shall have the meaning set forth in Section 6.</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shall have the meaning set forth in Section 2.</w:t>
      </w:r>
    </w:p>
    <w:p>
      <w:pPr>
        <w:spacing w:after="0" w:line="250"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shall have the meaning set forth in Section 13(a).</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Trading Policy</w:t>
      </w:r>
      <w:r>
        <w:rPr>
          <w:rFonts w:ascii="Times New Roman" w:cs="Times New Roman" w:eastAsia="Times New Roman" w:hAnsi="Times New Roman"/>
          <w:sz w:val="21"/>
          <w:szCs w:val="21"/>
          <w:color w:val="auto"/>
        </w:rPr>
        <w:t>” shall have the meaning set forth in Section 20.</w:t>
      </w:r>
    </w:p>
    <w:p>
      <w:pPr>
        <w:spacing w:after="0" w:line="237" w:lineRule="exact"/>
        <w:rPr>
          <w:rFonts w:ascii="Times New Roman" w:cs="Times New Roman" w:eastAsia="Times New Roman" w:hAnsi="Times New Roman"/>
          <w:sz w:val="21"/>
          <w:szCs w:val="21"/>
          <w:color w:val="auto"/>
        </w:rPr>
      </w:pPr>
    </w:p>
    <w:p>
      <w:pPr>
        <w:jc w:val="both"/>
        <w:ind w:firstLine="624"/>
        <w:spacing w:after="0" w:line="258" w:lineRule="auto"/>
        <w:tabs>
          <w:tab w:leader="none" w:pos="1242"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 The Company hereby agrees to employ Executive, either directly or through an affiliate of the Company, and Executive hereby accepts such employment, under the terms and conditions hereof, for the period (the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beginning on the Effective Date and terminating upon the earlier of (i) the second anniversary of the Effective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7" w:right="339" w:bottom="1440" w:gutter="0" w:footer="0" w:header="0"/>
        </w:sectPr>
      </w:pPr>
    </w:p>
    <w:bookmarkStart w:id="10" w:name="page11"/>
    <w:bookmarkEnd w:id="10"/>
    <w:p>
      <w:pPr>
        <w:jc w:val="both"/>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Initial Term</w:t>
      </w:r>
      <w:r>
        <w:rPr>
          <w:rFonts w:ascii="Times New Roman" w:cs="Times New Roman" w:eastAsia="Times New Roman" w:hAnsi="Times New Roman"/>
          <w:sz w:val="21"/>
          <w:szCs w:val="21"/>
          <w:color w:val="auto"/>
        </w:rPr>
        <w:t>”) or (ii) the Date of Termination as defined in Section 1(q). The Company may, in its sole discretion, extend the term of this Agreement for additional one (1)-year periods. If the Company fails to provide Executive with at least one hundred eighty (180) days’ notice prior to the end of the Initial Term or any extension thereof of the Company’s intent to not renew this Agreement (the “</w:t>
      </w:r>
      <w:r>
        <w:rPr>
          <w:rFonts w:ascii="Times New Roman" w:cs="Times New Roman" w:eastAsia="Times New Roman" w:hAnsi="Times New Roman"/>
          <w:sz w:val="21"/>
          <w:szCs w:val="21"/>
          <w:u w:val="single" w:color="auto"/>
          <w:color w:val="auto"/>
        </w:rPr>
        <w:t>Non-renewal Notice</w:t>
      </w:r>
      <w:r>
        <w:rPr>
          <w:rFonts w:ascii="Times New Roman" w:cs="Times New Roman" w:eastAsia="Times New Roman" w:hAnsi="Times New Roman"/>
          <w:sz w:val="21"/>
          <w:szCs w:val="21"/>
          <w:color w:val="auto"/>
        </w:rPr>
        <w:t>”), the Initial Term or any previous extension thereof shall be automatically extended one day for each day past the one hundred eightieth (180</w:t>
      </w:r>
      <w:r>
        <w:rPr>
          <w:rFonts w:ascii="Times New Roman" w:cs="Times New Roman" w:eastAsia="Times New Roman" w:hAnsi="Times New Roman"/>
          <w:sz w:val="11"/>
          <w:szCs w:val="11"/>
          <w:color w:val="auto"/>
        </w:rPr>
        <w:t>th</w:t>
      </w:r>
      <w:r>
        <w:rPr>
          <w:rFonts w:ascii="Times New Roman" w:cs="Times New Roman" w:eastAsia="Times New Roman" w:hAnsi="Times New Roman"/>
          <w:sz w:val="21"/>
          <w:szCs w:val="21"/>
          <w:color w:val="auto"/>
        </w:rPr>
        <w:t xml:space="preserve">) day prior to the end of the Initial Term or any extension thereof on which a Non-renewal Notice is not provided;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Company fails to provide any Non-renewal Notice and does not extend the term of this Agreement as of the last day of the Initial Term or any extension thereof, the Non-renewal Notice shall be deemed to have been given to Executive on the last day of the term of this Agreement. Unless otherwise agreed by the parties in writing, Executive employment will automatically terminate as of the effective date of the Non-Renewal Notice.</w:t>
      </w:r>
    </w:p>
    <w:p>
      <w:pPr>
        <w:spacing w:after="0" w:line="198" w:lineRule="exact"/>
        <w:rPr>
          <w:sz w:val="20"/>
          <w:szCs w:val="20"/>
          <w:color w:val="auto"/>
        </w:rPr>
      </w:pPr>
    </w:p>
    <w:p>
      <w:pPr>
        <w:ind w:left="1240" w:hanging="616"/>
        <w:spacing w:after="0"/>
        <w:tabs>
          <w:tab w:leader="none" w:pos="12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Position and Duties</w:t>
      </w:r>
      <w:r>
        <w:rPr>
          <w:rFonts w:ascii="Times New Roman" w:cs="Times New Roman" w:eastAsia="Times New Roman" w:hAnsi="Times New Roman"/>
          <w:sz w:val="21"/>
          <w:szCs w:val="21"/>
          <w:color w:val="auto"/>
        </w:rPr>
        <w:t>.</w:t>
      </w:r>
    </w:p>
    <w:p>
      <w:pPr>
        <w:spacing w:after="0" w:line="237" w:lineRule="exact"/>
        <w:rPr>
          <w:rFonts w:ascii="Times New Roman" w:cs="Times New Roman" w:eastAsia="Times New Roman" w:hAnsi="Times New Roman"/>
          <w:sz w:val="21"/>
          <w:szCs w:val="21"/>
          <w:color w:val="auto"/>
        </w:rPr>
      </w:pPr>
    </w:p>
    <w:p>
      <w:pPr>
        <w:jc w:val="both"/>
        <w:ind w:firstLine="1245"/>
        <w:spacing w:after="0" w:line="252" w:lineRule="auto"/>
        <w:tabs>
          <w:tab w:leader="none" w:pos="1853"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During the Term, Executive shall serve as Executive Vice President, General Counsel &amp; Corporate Secretary of the Company; shall have the authorities, duties and responsibilities customarily exercised by an individual serving in such position at an entity of the size and nature of the Company; shall be assigned no duties or responsibilities that are materially inconsistent with, or that materially impair Executive’s ability to discharge, the foregoing duties and responsibilities; shall have such additional duties and responsibilities (including service with affiliates of the Company) reasonably consistent with the foregoing, as may from time to time reasonably be assigned to Executive.</w:t>
      </w:r>
    </w:p>
    <w:p>
      <w:pPr>
        <w:spacing w:after="0" w:line="199" w:lineRule="exact"/>
        <w:rPr>
          <w:rFonts w:ascii="Times New Roman" w:cs="Times New Roman" w:eastAsia="Times New Roman" w:hAnsi="Times New Roman"/>
          <w:sz w:val="19"/>
          <w:szCs w:val="19"/>
          <w:color w:val="auto"/>
        </w:rPr>
      </w:pPr>
    </w:p>
    <w:p>
      <w:pPr>
        <w:jc w:val="both"/>
        <w:ind w:firstLine="1245"/>
        <w:spacing w:after="0" w:line="268" w:lineRule="auto"/>
        <w:tabs>
          <w:tab w:leader="none" w:pos="1858"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the Term, Executive shall devote substantially all of Executive’s business time and efforts to the business and affairs of the Company and its affiliates. However, nothing in this Agreement shall preclude Executive from: (i) serving on the boards of a reasonable number of business entities, trade associations, and charitable organizations; (ii) engaging in charitable activities and community affairs; (iii) accepting and fulfilling a reasonable number of speaking engagements; and (iv) managing Executive’s personal investments and affairs;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activities do not, either individually or in the aggregate, interfere with the proper performance of Executive’s duties and responsibilities hereunder; create a conflict of interest; or violate any provision of this Agreement;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service on the board of any business entity must be approved in advance by the Board.</w:t>
      </w:r>
    </w:p>
    <w:p>
      <w:pPr>
        <w:spacing w:after="0" w:line="181" w:lineRule="exact"/>
        <w:rPr>
          <w:rFonts w:ascii="Times New Roman" w:cs="Times New Roman" w:eastAsia="Times New Roman" w:hAnsi="Times New Roman"/>
          <w:sz w:val="20"/>
          <w:szCs w:val="20"/>
          <w:color w:val="auto"/>
        </w:rPr>
      </w:pPr>
    </w:p>
    <w:p>
      <w:pPr>
        <w:jc w:val="both"/>
        <w:ind w:firstLine="624"/>
        <w:spacing w:after="0" w:line="253" w:lineRule="auto"/>
        <w:tabs>
          <w:tab w:leader="none" w:pos="124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Place of Performance</w:t>
      </w:r>
      <w:r>
        <w:rPr>
          <w:rFonts w:ascii="Times New Roman" w:cs="Times New Roman" w:eastAsia="Times New Roman" w:hAnsi="Times New Roman"/>
          <w:sz w:val="21"/>
          <w:szCs w:val="21"/>
          <w:color w:val="auto"/>
        </w:rPr>
        <w:t>. During the Term, Executive’s primary office and principal workplace shall be the Corporate Office, except for necessary travel on the Company’s business. The Parties acknowledge and Executive agrees that Executive is expected to commute to the Corporate Office from Executive’s principal or secondary residence whether inside or outside of the metropolitan area or areas in which the Corporate Office is located.</w:t>
      </w:r>
    </w:p>
    <w:p>
      <w:pPr>
        <w:spacing w:after="0" w:line="197" w:lineRule="exact"/>
        <w:rPr>
          <w:rFonts w:ascii="Times New Roman" w:cs="Times New Roman" w:eastAsia="Times New Roman" w:hAnsi="Times New Roman"/>
          <w:sz w:val="21"/>
          <w:szCs w:val="21"/>
          <w:color w:val="auto"/>
        </w:rPr>
      </w:pPr>
    </w:p>
    <w:p>
      <w:pPr>
        <w:jc w:val="both"/>
        <w:ind w:firstLine="624"/>
        <w:spacing w:after="0" w:line="265" w:lineRule="auto"/>
        <w:tabs>
          <w:tab w:leader="none" w:pos="124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Base Salary</w:t>
      </w:r>
      <w:r>
        <w:rPr>
          <w:rFonts w:ascii="Times New Roman" w:cs="Times New Roman" w:eastAsia="Times New Roman" w:hAnsi="Times New Roman"/>
          <w:sz w:val="21"/>
          <w:szCs w:val="21"/>
          <w:color w:val="auto"/>
        </w:rPr>
        <w:t>. During the Term and beginning on the Effective Date, Executive shall receive a base salary at a rate not less than $825,000 per annum (the “</w:t>
      </w:r>
      <w:r>
        <w:rPr>
          <w:rFonts w:ascii="Times New Roman" w:cs="Times New Roman" w:eastAsia="Times New Roman" w:hAnsi="Times New Roman"/>
          <w:sz w:val="21"/>
          <w:szCs w:val="21"/>
          <w:u w:val="single" w:color="auto"/>
          <w:color w:val="auto"/>
        </w:rPr>
        <w:t>Annual Base Salary</w:t>
      </w:r>
      <w:r>
        <w:rPr>
          <w:rFonts w:ascii="Times New Roman" w:cs="Times New Roman" w:eastAsia="Times New Roman" w:hAnsi="Times New Roman"/>
          <w:sz w:val="21"/>
          <w:szCs w:val="21"/>
          <w:color w:val="auto"/>
        </w:rPr>
        <w:t>”), paid in accordance with the Company’s general payroll practices for executives, but no less frequently than monthly. The Annual Base Salary shall compensate Executive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67"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employment by, position in or directorship of a Company affiliate that Executive holds. No less frequently than annually during the Term, the Committee, on advice of the Company’s Chief Executive Officer, shall review the rate of Annual Base Salary payable to Executive, and may, in its discretion, increase the rate of Annual Base Salary payable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increased rate shall thereafter be the rate of Annual Base Salary hereunder.</w:t>
      </w:r>
    </w:p>
    <w:p>
      <w:pPr>
        <w:spacing w:after="0" w:line="191" w:lineRule="exact"/>
        <w:rPr>
          <w:sz w:val="20"/>
          <w:szCs w:val="20"/>
          <w:color w:val="auto"/>
        </w:rPr>
      </w:pPr>
    </w:p>
    <w:p>
      <w:pPr>
        <w:jc w:val="both"/>
        <w:ind w:firstLine="624"/>
        <w:spacing w:after="0" w:line="250" w:lineRule="auto"/>
        <w:tabs>
          <w:tab w:leader="none" w:pos="1242"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Except as otherwise provided for herein, for each fiscal year or other period consistent with the Company’s then-applicable normal employment practices during which Executive is employed hereunder on the last day (the “</w:t>
      </w:r>
      <w:r>
        <w:rPr>
          <w:rFonts w:ascii="Times New Roman" w:cs="Times New Roman" w:eastAsia="Times New Roman" w:hAnsi="Times New Roman"/>
          <w:sz w:val="21"/>
          <w:szCs w:val="21"/>
          <w:u w:val="single" w:color="auto"/>
          <w:color w:val="auto"/>
        </w:rPr>
        <w:t>Bonus Year</w:t>
      </w:r>
      <w:r>
        <w:rPr>
          <w:rFonts w:ascii="Times New Roman" w:cs="Times New Roman" w:eastAsia="Times New Roman" w:hAnsi="Times New Roman"/>
          <w:sz w:val="21"/>
          <w:szCs w:val="21"/>
          <w:color w:val="auto"/>
        </w:rPr>
        <w:t>”), Executive shall be eligible to receive a bonus with a target amount not less than: (i) 150% of Executive’s Annual Base Salary that was in effect for periods through May 14, 2026; and (ii) 160% of Executive’s Annual Base Salary for periods from and after May 15, 2026 (the “</w:t>
      </w:r>
      <w:r>
        <w:rPr>
          <w:rFonts w:ascii="Times New Roman" w:cs="Times New Roman" w:eastAsia="Times New Roman" w:hAnsi="Times New Roman"/>
          <w:sz w:val="21"/>
          <w:szCs w:val="21"/>
          <w:u w:val="single" w:color="auto"/>
          <w:color w:val="auto"/>
        </w:rPr>
        <w:t>Target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with the actual bonus payout depending on the achievement of levels of performance for that year (the “</w:t>
      </w: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pursuant to, and as set forth in, the terms of the Company’s Executive Bonus Plan as it may be amended from time to time, plus such other bonus payments, if any, as shall be determined by the Committee in its sole discretion, with such bonuses being paid on or before March 15 of the calendar year next following the Bonus Year.</w:t>
      </w:r>
    </w:p>
    <w:p>
      <w:pPr>
        <w:spacing w:after="0" w:line="199" w:lineRule="exact"/>
        <w:rPr>
          <w:rFonts w:ascii="Times New Roman" w:cs="Times New Roman" w:eastAsia="Times New Roman" w:hAnsi="Times New Roman"/>
          <w:sz w:val="21"/>
          <w:szCs w:val="21"/>
          <w:color w:val="auto"/>
        </w:rPr>
      </w:pPr>
    </w:p>
    <w:p>
      <w:pPr>
        <w:jc w:val="both"/>
        <w:ind w:firstLine="624"/>
        <w:spacing w:after="0" w:line="262" w:lineRule="auto"/>
        <w:tabs>
          <w:tab w:leader="none" w:pos="1242"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Incentive Awards</w:t>
      </w:r>
      <w:r>
        <w:rPr>
          <w:rFonts w:ascii="Times New Roman" w:cs="Times New Roman" w:eastAsia="Times New Roman" w:hAnsi="Times New Roman"/>
          <w:sz w:val="20"/>
          <w:szCs w:val="20"/>
          <w:color w:val="auto"/>
        </w:rPr>
        <w:t>. During the Term, Executive shall be eligible for equity awards pursuant to award agreements substantially in the forms the Company adopts from time to time. If Executive is granted stock option awards, such options shall have a per-share exercise price equal to the fair market value of a share of Company common stock on the date of grant. Beginning in 2027, Executive shall annually (at the time the Company grants annual awards to other executives) be granted equity awards with a grant date fair value commensurate with awards for Executive’s position and, in any event, at least equal to $4,000,000, with such awards granted in a mix of options and restricted stock units. On May 15, 2026, Executive shall be granted an incremental award with a grant date fair value of $656,250, consisting of a mix of options and restricted stock units, which award shall cliff vest on the third anniversary of the grant date, subject to Executive’s continued employment with the Company through such date. The grant date fair value of any option award shall be the product of (i) the number of shares of common stock of the Company subject to such option award, multiplied by</w:t>
      </w:r>
    </w:p>
    <w:p>
      <w:pPr>
        <w:spacing w:after="0" w:line="2" w:lineRule="exact"/>
        <w:rPr>
          <w:rFonts w:ascii="Times New Roman" w:cs="Times New Roman" w:eastAsia="Times New Roman" w:hAnsi="Times New Roman"/>
          <w:sz w:val="20"/>
          <w:szCs w:val="20"/>
          <w:color w:val="auto"/>
        </w:rPr>
      </w:pPr>
    </w:p>
    <w:p>
      <w:pPr>
        <w:ind w:firstLine="3"/>
        <w:spacing w:after="0" w:line="246" w:lineRule="exact"/>
        <w:tabs>
          <w:tab w:leader="none" w:pos="321"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per-share value of such option award, which shall be calculated pursuant to the Black</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Scholes option valuation methodology based on assumptions consistent with those used to value option awards granted to other senior executives of the Company.</w:t>
      </w:r>
    </w:p>
    <w:p>
      <w:pPr>
        <w:spacing w:after="0" w:line="209" w:lineRule="exact"/>
        <w:rPr>
          <w:rFonts w:ascii="Times New Roman" w:cs="Times New Roman" w:eastAsia="Times New Roman" w:hAnsi="Times New Roman"/>
          <w:sz w:val="21"/>
          <w:szCs w:val="21"/>
          <w:color w:val="auto"/>
        </w:rPr>
      </w:pPr>
    </w:p>
    <w:p>
      <w:pPr>
        <w:jc w:val="both"/>
        <w:ind w:firstLine="624"/>
        <w:spacing w:after="0" w:line="258" w:lineRule="auto"/>
        <w:tabs>
          <w:tab w:leader="none" w:pos="1242"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During the Term, Executive shall be entitled to receive such benefits and to participate in such employee group benefit plans, including life, health and disability insurance policies, and financial planning services, and other perquisites and plans as are generally provided by the Company to its other senior executives in accordance with the plans, practices and programs of the Company, as amended and in effect from time to time.</w:t>
      </w:r>
    </w:p>
    <w:p>
      <w:pPr>
        <w:spacing w:after="0" w:line="190" w:lineRule="exact"/>
        <w:rPr>
          <w:rFonts w:ascii="Times New Roman" w:cs="Times New Roman" w:eastAsia="Times New Roman" w:hAnsi="Times New Roman"/>
          <w:sz w:val="21"/>
          <w:szCs w:val="21"/>
          <w:color w:val="auto"/>
        </w:rPr>
      </w:pPr>
    </w:p>
    <w:p>
      <w:pPr>
        <w:jc w:val="both"/>
        <w:ind w:firstLine="624"/>
        <w:spacing w:after="0" w:line="258" w:lineRule="auto"/>
        <w:tabs>
          <w:tab w:leader="none" w:pos="1242"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Company shall promptly reimburse Executive for all reasonable and necessary expenses incurred by Executive in connection with the performance of Executive’s duties as an employee of the Company. Such reimbursement is subject to the submission to the Company by Executive of appropriate documentation and/or vouchers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67" w:right="339" w:bottom="1440" w:gutter="0" w:footer="0" w:header="0"/>
        </w:sectPr>
      </w:pPr>
    </w:p>
    <w:bookmarkStart w:id="12" w:name="page13"/>
    <w:bookmarkEnd w:id="12"/>
    <w:p>
      <w:pPr>
        <w:spacing w:after="0" w:line="273" w:lineRule="auto"/>
        <w:rPr>
          <w:sz w:val="20"/>
          <w:szCs w:val="20"/>
          <w:color w:val="auto"/>
        </w:rPr>
      </w:pPr>
      <w:r>
        <w:rPr>
          <w:rFonts w:ascii="Times New Roman" w:cs="Times New Roman" w:eastAsia="Times New Roman" w:hAnsi="Times New Roman"/>
          <w:sz w:val="21"/>
          <w:szCs w:val="21"/>
          <w:color w:val="auto"/>
        </w:rPr>
        <w:t>accordance with the customary procedures of the Company for expense reimbursement, as such procedures may be revised by the Company from time to time hereafter.</w:t>
      </w:r>
    </w:p>
    <w:p>
      <w:pPr>
        <w:spacing w:after="0" w:line="175" w:lineRule="exact"/>
        <w:rPr>
          <w:sz w:val="20"/>
          <w:szCs w:val="20"/>
          <w:color w:val="auto"/>
        </w:rPr>
      </w:pPr>
    </w:p>
    <w:p>
      <w:pPr>
        <w:jc w:val="both"/>
        <w:ind w:firstLine="624"/>
        <w:spacing w:after="0" w:line="258" w:lineRule="auto"/>
        <w:tabs>
          <w:tab w:leader="none" w:pos="1242"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Vacations</w:t>
      </w:r>
      <w:r>
        <w:rPr>
          <w:rFonts w:ascii="Times New Roman" w:cs="Times New Roman" w:eastAsia="Times New Roman" w:hAnsi="Times New Roman"/>
          <w:sz w:val="21"/>
          <w:szCs w:val="21"/>
          <w:color w:val="auto"/>
        </w:rPr>
        <w:t xml:space="preserve">. During the Term, Executive shall be entitled to paid vacation in accordance with the Company’s vacation policy as in effect from time to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shall Executive be entitled to less than four (4) weeks of paid vacation per calendar year. Executive shall also be entitled to paid holidays and personal days in accordance with the Company’s practice with respect to same as in effect from time to time.</w:t>
      </w:r>
    </w:p>
    <w:p>
      <w:pPr>
        <w:spacing w:after="0" w:line="190"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237" w:lineRule="exact"/>
        <w:rPr>
          <w:rFonts w:ascii="Times New Roman" w:cs="Times New Roman" w:eastAsia="Times New Roman" w:hAnsi="Times New Roman"/>
          <w:sz w:val="21"/>
          <w:szCs w:val="21"/>
          <w:color w:val="auto"/>
        </w:rPr>
      </w:pPr>
    </w:p>
    <w:p>
      <w:pPr>
        <w:ind w:firstLine="1245"/>
        <w:spacing w:after="0" w:line="285" w:lineRule="auto"/>
        <w:tabs>
          <w:tab w:leader="none" w:pos="186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employment hereunder may be terminated by the Company,on the one hand, or Executive, on the other hand, as applicable, without any breach of this Agreement, under the following circumstances:</w:t>
      </w:r>
    </w:p>
    <w:p>
      <w:pPr>
        <w:spacing w:after="0" w:line="163" w:lineRule="exact"/>
        <w:rPr>
          <w:rFonts w:ascii="Times New Roman" w:cs="Times New Roman" w:eastAsia="Times New Roman" w:hAnsi="Times New Roman"/>
          <w:sz w:val="21"/>
          <w:szCs w:val="21"/>
          <w:color w:val="auto"/>
        </w:rPr>
      </w:pPr>
    </w:p>
    <w:p>
      <w:pPr>
        <w:ind w:left="2480" w:hanging="614"/>
        <w:spacing w:after="0"/>
        <w:tabs>
          <w:tab w:leader="none" w:pos="2480" w:val="left"/>
        </w:tabs>
        <w:numPr>
          <w:ilvl w:val="2"/>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w:t>
      </w:r>
      <w:r>
        <w:rPr>
          <w:rFonts w:ascii="Times New Roman" w:cs="Times New Roman" w:eastAsia="Times New Roman" w:hAnsi="Times New Roman"/>
          <w:sz w:val="21"/>
          <w:szCs w:val="21"/>
          <w:color w:val="auto"/>
        </w:rPr>
        <w:t>. Executive’s employment hereunder shall automatically terminate upon Executive’s death.</w:t>
      </w:r>
    </w:p>
    <w:p>
      <w:pPr>
        <w:spacing w:after="0" w:line="237" w:lineRule="exact"/>
        <w:rPr>
          <w:rFonts w:ascii="Times New Roman" w:cs="Times New Roman" w:eastAsia="Times New Roman" w:hAnsi="Times New Roman"/>
          <w:sz w:val="21"/>
          <w:szCs w:val="21"/>
          <w:color w:val="auto"/>
        </w:rPr>
      </w:pPr>
    </w:p>
    <w:p>
      <w:pPr>
        <w:jc w:val="both"/>
        <w:ind w:firstLine="1866"/>
        <w:spacing w:after="0" w:line="254" w:lineRule="auto"/>
        <w:tabs>
          <w:tab w:leader="none" w:pos="2478" w:val="left"/>
        </w:tabs>
        <w:numPr>
          <w:ilvl w:val="2"/>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If Executive has incurred a Disability, the Company may give Executive written notice of its intention to terminate Executive’s employment. In such event, Executive’s employment with the Company shall terminate effective on the fourteenth (14</w:t>
      </w:r>
      <w:r>
        <w:rPr>
          <w:rFonts w:ascii="Times New Roman" w:cs="Times New Roman" w:eastAsia="Times New Roman" w:hAnsi="Times New Roman"/>
          <w:sz w:val="11"/>
          <w:szCs w:val="11"/>
          <w:color w:val="auto"/>
        </w:rPr>
        <w:t>th</w:t>
      </w:r>
      <w:r>
        <w:rPr>
          <w:rFonts w:ascii="Times New Roman" w:cs="Times New Roman" w:eastAsia="Times New Roman" w:hAnsi="Times New Roman"/>
          <w:sz w:val="21"/>
          <w:szCs w:val="21"/>
          <w:color w:val="auto"/>
        </w:rPr>
        <w:t xml:space="preserve">) calendar day after delivery of such notice to Executive;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within the fourteen (14) calendar days after such delivery, Executive shall not have returned to full time performance of Executive’s duties. Executive may provide notice to the Company of Executive’s resignation on account of a Disability at any time.</w:t>
      </w:r>
    </w:p>
    <w:p>
      <w:pPr>
        <w:spacing w:after="0" w:line="196" w:lineRule="exact"/>
        <w:rPr>
          <w:rFonts w:ascii="Times New Roman" w:cs="Times New Roman" w:eastAsia="Times New Roman" w:hAnsi="Times New Roman"/>
          <w:sz w:val="21"/>
          <w:szCs w:val="21"/>
          <w:color w:val="auto"/>
        </w:rPr>
      </w:pPr>
    </w:p>
    <w:p>
      <w:pPr>
        <w:ind w:firstLine="1866"/>
        <w:spacing w:after="0" w:line="273" w:lineRule="auto"/>
        <w:tabs>
          <w:tab w:leader="none" w:pos="2484" w:val="left"/>
        </w:tabs>
        <w:numPr>
          <w:ilvl w:val="2"/>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The Company may terminate Executive’s employment hereunder for Cause effective immediately upon delivery of notice to Executive, after complying with any procedural requirements set forth in Section 1(g).</w:t>
      </w:r>
    </w:p>
    <w:p>
      <w:pPr>
        <w:spacing w:after="0" w:line="175" w:lineRule="exact"/>
        <w:rPr>
          <w:rFonts w:ascii="Times New Roman" w:cs="Times New Roman" w:eastAsia="Times New Roman" w:hAnsi="Times New Roman"/>
          <w:sz w:val="21"/>
          <w:szCs w:val="21"/>
          <w:color w:val="auto"/>
        </w:rPr>
      </w:pPr>
    </w:p>
    <w:p>
      <w:pPr>
        <w:jc w:val="both"/>
        <w:ind w:firstLine="1866"/>
        <w:spacing w:after="0" w:line="258" w:lineRule="auto"/>
        <w:tabs>
          <w:tab w:leader="none" w:pos="2472" w:val="left"/>
        </w:tabs>
        <w:numPr>
          <w:ilvl w:val="2"/>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Executive may terminate Executive’s employment herein with Good Reason upon (A) satisfaction of any advance notice and other procedural requirements set forth in Section 1(z) for any termination following an event described in any of Sections 1(z)(i) through (vii), or (B) at least thirty (30) calendar days’ advance written notice by Executive for any termination following an event described in Section 1(z)(viii).</w:t>
      </w:r>
    </w:p>
    <w:p>
      <w:pPr>
        <w:spacing w:after="0" w:line="190" w:lineRule="exact"/>
        <w:rPr>
          <w:rFonts w:ascii="Times New Roman" w:cs="Times New Roman" w:eastAsia="Times New Roman" w:hAnsi="Times New Roman"/>
          <w:sz w:val="21"/>
          <w:szCs w:val="21"/>
          <w:color w:val="auto"/>
        </w:rPr>
      </w:pPr>
    </w:p>
    <w:p>
      <w:pPr>
        <w:ind w:firstLine="1866"/>
        <w:spacing w:after="0" w:line="273" w:lineRule="auto"/>
        <w:tabs>
          <w:tab w:leader="none" w:pos="2479" w:val="left"/>
        </w:tabs>
        <w:numPr>
          <w:ilvl w:val="2"/>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Without Cause</w:t>
      </w:r>
      <w:r>
        <w:rPr>
          <w:rFonts w:ascii="Times New Roman" w:cs="Times New Roman" w:eastAsia="Times New Roman" w:hAnsi="Times New Roman"/>
          <w:sz w:val="21"/>
          <w:szCs w:val="21"/>
          <w:color w:val="auto"/>
        </w:rPr>
        <w:t>. The Company may terminate Executive’s employment hereunder without Cause upon at least thirty (30) calendar days’ advance written notice to Executive.</w:t>
      </w:r>
    </w:p>
    <w:p>
      <w:pPr>
        <w:spacing w:after="0" w:line="175" w:lineRule="exact"/>
        <w:rPr>
          <w:rFonts w:ascii="Times New Roman" w:cs="Times New Roman" w:eastAsia="Times New Roman" w:hAnsi="Times New Roman"/>
          <w:sz w:val="21"/>
          <w:szCs w:val="21"/>
          <w:color w:val="auto"/>
        </w:rPr>
      </w:pPr>
    </w:p>
    <w:p>
      <w:pPr>
        <w:ind w:firstLine="1866"/>
        <w:spacing w:after="0" w:line="285" w:lineRule="auto"/>
        <w:tabs>
          <w:tab w:leader="none" w:pos="2472" w:val="left"/>
        </w:tabs>
        <w:numPr>
          <w:ilvl w:val="2"/>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Without Good Reason</w:t>
      </w:r>
      <w:r>
        <w:rPr>
          <w:rFonts w:ascii="Times New Roman" w:cs="Times New Roman" w:eastAsia="Times New Roman" w:hAnsi="Times New Roman"/>
          <w:sz w:val="21"/>
          <w:szCs w:val="21"/>
          <w:color w:val="auto"/>
        </w:rPr>
        <w:t>. Executive may resign Executive’s employment without Good Reason upon at least thirty (30) calendar days’ advance written notice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67" w:right="339" w:bottom="1440" w:gutter="0" w:footer="0" w:header="0"/>
        </w:sectPr>
      </w:pPr>
    </w:p>
    <w:bookmarkStart w:id="13" w:name="page14"/>
    <w:bookmarkEnd w:id="13"/>
    <w:p>
      <w:pPr>
        <w:jc w:val="both"/>
        <w:ind w:firstLine="1866"/>
        <w:spacing w:after="0" w:line="258" w:lineRule="auto"/>
        <w:tabs>
          <w:tab w:leader="none" w:pos="2478" w:val="left"/>
        </w:tabs>
        <w:numPr>
          <w:ilvl w:val="2"/>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Expiration of Term</w:t>
      </w:r>
      <w:r>
        <w:rPr>
          <w:rFonts w:ascii="Times New Roman" w:cs="Times New Roman" w:eastAsia="Times New Roman" w:hAnsi="Times New Roman"/>
          <w:sz w:val="21"/>
          <w:szCs w:val="21"/>
          <w:color w:val="auto"/>
        </w:rPr>
        <w:t xml:space="preserve">. Executive’s employment with the Company shall terminate automatically upon the expiration of the Term,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Term expires as a result of Executive’s refusal to extend the Term on terms and conditions substantially similar to those provided herein, then such termination shall be treated as a resignation without Good Reason for all purposes hereunder.</w:t>
      </w:r>
    </w:p>
    <w:p>
      <w:pPr>
        <w:spacing w:after="0" w:line="190" w:lineRule="exact"/>
        <w:rPr>
          <w:rFonts w:ascii="Times New Roman" w:cs="Times New Roman" w:eastAsia="Times New Roman" w:hAnsi="Times New Roman"/>
          <w:sz w:val="21"/>
          <w:szCs w:val="21"/>
          <w:color w:val="auto"/>
        </w:rPr>
      </w:pPr>
    </w:p>
    <w:p>
      <w:pPr>
        <w:jc w:val="both"/>
        <w:ind w:firstLine="1245"/>
        <w:spacing w:after="0" w:line="264" w:lineRule="auto"/>
        <w:tabs>
          <w:tab w:leader="none" w:pos="1858"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Any termination of Executive’s employment by the Company or by Executive under this Section 11 (other than pursuant to Section 11(a)(i)) shall be communicated by a written notice (the “</w:t>
      </w: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to the other Party hereto, indicating the specific termination provision in this Agreement relied upon, setting forth in reasonable detail any facts and circumstances claimed to provide a basis for termination of Executive’s employment under the provision so indicated, and specifying a Date of Termination, which notice shall be delivered within the applicable time periods set forth in subsections 11(a)(ii)-</w:t>
      </w:r>
    </w:p>
    <w:p>
      <w:pPr>
        <w:jc w:val="both"/>
        <w:ind w:firstLine="3"/>
        <w:spacing w:after="0" w:line="246" w:lineRule="auto"/>
        <w:tabs>
          <w:tab w:leader="none" w:pos="364"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Notice Period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may earlier terminate Executive’s employment during such Notice Period and pay to Executive all Annual Base Salary, benefits and other rights due to Executive under this Agreement during such Notice Period (as if Executive continued employment) instead of employing Executive during such Notice Period.</w:t>
      </w:r>
    </w:p>
    <w:p>
      <w:pPr>
        <w:spacing w:after="0" w:line="203" w:lineRule="exact"/>
        <w:rPr>
          <w:rFonts w:ascii="Times New Roman" w:cs="Times New Roman" w:eastAsia="Times New Roman" w:hAnsi="Times New Roman"/>
          <w:sz w:val="21"/>
          <w:szCs w:val="21"/>
          <w:color w:val="auto"/>
        </w:rPr>
      </w:pPr>
    </w:p>
    <w:p>
      <w:pPr>
        <w:jc w:val="both"/>
        <w:ind w:firstLine="1245"/>
        <w:spacing w:after="0" w:line="252" w:lineRule="auto"/>
        <w:tabs>
          <w:tab w:leader="none" w:pos="186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from Representational Capacities</w:t>
      </w:r>
      <w:r>
        <w:rPr>
          <w:rFonts w:ascii="Times New Roman" w:cs="Times New Roman" w:eastAsia="Times New Roman" w:hAnsi="Times New Roman"/>
          <w:sz w:val="21"/>
          <w:szCs w:val="21"/>
          <w:color w:val="auto"/>
        </w:rPr>
        <w:t>. Executive hereby acknowledges and agrees that upon Executive’s termination of employment with the Company for whatever reason, Executive shall be deemed to have, and shall have in fact, effectively resigned from all executive, director, offices, or other positions with the Company or its affiliates at the time of such termination of employment, and shall return all property owned by the Company or its affiliates and in Executive’s possession, including all hardware, files and documents, at that time. Nothing in this Agreement or elsewhere shall prevent Executive from retaining and utilizing copies of benefits plans and programs in which Executive retains an interest or other documents relating to Executive’s personal entitlements and obligations, Executive’s desk calendars, Executive’s rolodex, and the like, or such other records and documents as may reasonably be approved by the Company.</w:t>
      </w:r>
    </w:p>
    <w:p>
      <w:pPr>
        <w:spacing w:after="0" w:line="196" w:lineRule="exact"/>
        <w:rPr>
          <w:rFonts w:ascii="Times New Roman" w:cs="Times New Roman" w:eastAsia="Times New Roman" w:hAnsi="Times New Roman"/>
          <w:sz w:val="21"/>
          <w:szCs w:val="21"/>
          <w:color w:val="auto"/>
        </w:rPr>
      </w:pPr>
    </w:p>
    <w:p>
      <w:pPr>
        <w:jc w:val="both"/>
        <w:ind w:firstLine="1245"/>
        <w:spacing w:after="0" w:line="249" w:lineRule="auto"/>
        <w:tabs>
          <w:tab w:leader="none" w:pos="1858"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in Connection with Change in Control</w:t>
      </w:r>
      <w:r>
        <w:rPr>
          <w:rFonts w:ascii="Times New Roman" w:cs="Times New Roman" w:eastAsia="Times New Roman" w:hAnsi="Times New Roman"/>
          <w:sz w:val="21"/>
          <w:szCs w:val="21"/>
          <w:color w:val="auto"/>
        </w:rPr>
        <w:t>. If (i) Executive’s employment is terminated by the Company without Cause or by Executive for Good Reason upon, within thirty (30) calendar days before, or within thirteen (13) months after, a Change in Control, or prior to a Change in Control at the request of a prospective purchaser whose proposed purchase would constitute a Change in Control upon its completion, such termination shall be deemed to have occurred immediately before such Change in Control for purposes of Section 12(b) of this Agreement, or (ii) Executive’s employment terminates for any reason at the end of the Term following the delivery or deemed delivery to Executive of a Non-renewal Notice upon, within thirty (30) calendar days before, or within thirteen (13) months after, a Change in Control, or prior to a Change in Control at the request of such a prospective purchaser, such termination shall be deemed to be by the Company without Cause and shall be deemed to have occurred immediately before such Change in Control for purposes of Section 12(b)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67" w:right="339" w:bottom="1440" w:gutter="0" w:footer="0" w:header="0"/>
        </w:sectPr>
      </w:pPr>
    </w:p>
    <w:bookmarkStart w:id="14" w:name="page15"/>
    <w:bookmarkEnd w:id="14"/>
    <w:p>
      <w:pPr>
        <w:ind w:left="1240" w:hanging="616"/>
        <w:spacing w:after="0"/>
        <w:tabs>
          <w:tab w:leader="none" w:pos="12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Pay</w:t>
      </w:r>
      <w:r>
        <w:rPr>
          <w:rFonts w:ascii="Times New Roman" w:cs="Times New Roman" w:eastAsia="Times New Roman" w:hAnsi="Times New Roman"/>
          <w:sz w:val="21"/>
          <w:szCs w:val="21"/>
          <w:color w:val="auto"/>
        </w:rPr>
        <w:t>.</w:t>
      </w:r>
    </w:p>
    <w:p>
      <w:pPr>
        <w:spacing w:after="0" w:line="237" w:lineRule="exact"/>
        <w:rPr>
          <w:rFonts w:ascii="Times New Roman" w:cs="Times New Roman" w:eastAsia="Times New Roman" w:hAnsi="Times New Roman"/>
          <w:sz w:val="21"/>
          <w:szCs w:val="21"/>
          <w:color w:val="auto"/>
        </w:rPr>
      </w:pPr>
    </w:p>
    <w:p>
      <w:pPr>
        <w:jc w:val="both"/>
        <w:ind w:firstLine="1245"/>
        <w:spacing w:after="0" w:line="264" w:lineRule="auto"/>
        <w:tabs>
          <w:tab w:leader="none" w:pos="185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Effective upon the termination of Executive’s employment, the Company will be obligated to pay Executive (or, in the event of Executive’s death, Executive’s designated beneficiary) only such compensation as is provided in this Section 12, except to the extent otherwise provided for in any Company stock incentive, stock option or cash award plan (including, among others, the Plan and the award agreements applicable thereunder). For purposes of this Section 12, Executive’s designated beneficiary will be such individual beneficiary or trust, located at such address, as Executive may designate by notice to the Company from time to time or, if Executive fails to give notice to the Company of such a beneficiary, Executive’s estate. Notwithstanding the preceding sentence, the Company will have no duty, in any circumstances, to attempt to open an estate on behalf of Executive, to determine whether any beneficiary designated by Executive is alive or to ascertain the address of any such beneficiary, to determine the existence of any trust, to determine whether any person purporting to act as Executive’s personal representative (or the trustee of a trust established by Executive) is duly authorized to act in that capacity, or to locate or attempt to locate any beneficiary, personal representative, or trustee.</w:t>
      </w:r>
    </w:p>
    <w:p>
      <w:pPr>
        <w:spacing w:after="0" w:line="186" w:lineRule="exact"/>
        <w:rPr>
          <w:rFonts w:ascii="Times New Roman" w:cs="Times New Roman" w:eastAsia="Times New Roman" w:hAnsi="Times New Roman"/>
          <w:sz w:val="18"/>
          <w:szCs w:val="18"/>
          <w:color w:val="auto"/>
        </w:rPr>
      </w:pPr>
    </w:p>
    <w:p>
      <w:pPr>
        <w:jc w:val="both"/>
        <w:ind w:firstLine="1245"/>
        <w:spacing w:after="0" w:line="249" w:lineRule="auto"/>
        <w:tabs>
          <w:tab w:leader="none" w:pos="1858"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Executive with Good Reason or by Company without Cause</w:t>
      </w:r>
      <w:r>
        <w:rPr>
          <w:rFonts w:ascii="Times New Roman" w:cs="Times New Roman" w:eastAsia="Times New Roman" w:hAnsi="Times New Roman"/>
          <w:sz w:val="21"/>
          <w:szCs w:val="21"/>
          <w:color w:val="auto"/>
        </w:rPr>
        <w:t>. If prior to expiration of the Term, Executive terminates Executive’s employment with Good Reason, or if the Company terminates Executive’s employment other than for Cause and other than for death or Disability, Executive will be entitled to receive: (i) all Annual Base Salary earned and duly payable for periods ending on or prior to the Date of Termination but unpaid as of the Date of Termination and all accrued but unused vacation days at Executive’s per-business-day rate of Annual Base Salary in effect as of the Date of Termination, which amounts shall be paid in cash in a lump sum no later than ten (10) business days following the Date of Termination; (ii) all reasonable expenses incurred by Executive through the Date of Termination that are reimbursable in accordance with Section 9, which amount shall be paid in cash within thirty (30) calendar days after the submission by Executive of receipts; and (iii) all Bonuses earned and duly payable for periods ending on or prior to the Date of Termination but unpaid as of the Date of Termination, which amounts shall be paid in cash in a lump sum no later than sixty (60) calendar days following the Date of Termination (such amounts in clauses (i), (ii) and (iii) together, the “</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If Executive signs and delivers to the Company and does not (within the applicable revocation period) revoke the Release (as defined in Section 12(h)) within sixty (60) calendar days following the Date of Termination, Executive shall also be entitled to receive the following payments and benefits in consideration for Executive abiding by the obligations set forth in Sections 14, 15 and 16:</w:t>
      </w:r>
    </w:p>
    <w:p>
      <w:pPr>
        <w:spacing w:after="0" w:line="205" w:lineRule="exact"/>
        <w:rPr>
          <w:sz w:val="20"/>
          <w:szCs w:val="20"/>
          <w:color w:val="auto"/>
        </w:rPr>
      </w:pPr>
    </w:p>
    <w:p>
      <w:pPr>
        <w:jc w:val="both"/>
        <w:ind w:left="1860" w:hanging="615"/>
        <w:spacing w:after="0" w:line="254" w:lineRule="auto"/>
        <w:tabs>
          <w:tab w:leader="none" w:pos="185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2.0 times the sum of Executive’s (x) Annual Base Salary and (y) Target Bonus for the calendar year in which the Date of Termination occurs, which amount shall (subject to Section 31(a)) be paid in substantially equal installments in accordance with the Company’s normal payroll practices in effect from time to time commencing with the first payroll date more than sixty (60) calendar days following the Date of Termination and ending twenty-four (24) months and sixty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67" w:right="339" w:bottom="1440" w:gutter="0" w:footer="0" w:header="0"/>
        </w:sectPr>
      </w:pPr>
    </w:p>
    <w:bookmarkStart w:id="15" w:name="page16"/>
    <w:bookmarkEnd w:id="15"/>
    <w:p>
      <w:pPr>
        <w:jc w:val="both"/>
        <w:ind w:left="1860"/>
        <w:spacing w:after="0" w:line="252" w:lineRule="auto"/>
        <w:rPr>
          <w:sz w:val="20"/>
          <w:szCs w:val="20"/>
          <w:color w:val="auto"/>
        </w:rPr>
      </w:pPr>
      <w:r>
        <w:rPr>
          <w:rFonts w:ascii="Times New Roman" w:cs="Times New Roman" w:eastAsia="Times New Roman" w:hAnsi="Times New Roman"/>
          <w:sz w:val="21"/>
          <w:szCs w:val="21"/>
          <w:color w:val="auto"/>
        </w:rPr>
        <w:t xml:space="preserve">following the Date of 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Change in Control occurs during the twenty-four (24) month period after the Date of Termination (or is deemed pursuant to Section 11(d) to have occurred immediately after such Date of Termination) and such Change in Control qualifies either as a “change in the ownership or effective control” of the Company or a “change in the ownership of a substantial portion of the assets” of the Company within the meaning of Section 409A of the Code, any amounts remaining payable to Executive hereunder shall be paid in a single lump sum immediately upon such Change in Control;</w:t>
      </w:r>
    </w:p>
    <w:p>
      <w:pPr>
        <w:spacing w:after="0" w:line="199" w:lineRule="exact"/>
        <w:rPr>
          <w:sz w:val="20"/>
          <w:szCs w:val="20"/>
          <w:color w:val="auto"/>
        </w:rPr>
      </w:pPr>
    </w:p>
    <w:p>
      <w:pPr>
        <w:jc w:val="both"/>
        <w:ind w:left="1860" w:hanging="615"/>
        <w:spacing w:after="0" w:line="250" w:lineRule="auto"/>
        <w:tabs>
          <w:tab w:leader="none" w:pos="1851"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pro-rata portion of the Bonus granted to Executive for the year in which the Date of Termination occurs equal to a fraction, the numerator of which is the number of calendar days during such year through (and including) the Date of Termination and the denominator of which is the number of days in such year, with such pro-rata portion earned in an amount based on the degree to which the applicable financial and operational performance goals are ultimately achieved (and any individual level goals deemed achieved at no less than target levels), as determined by the Committee on a basis applied uniformly to Executive as to other senior executives of the Company, which shall be payable at the time bonuses granted for the year in which the Date of Termination occurs are paid to other senior executives of the Company (the “</w:t>
      </w:r>
      <w:r>
        <w:rPr>
          <w:rFonts w:ascii="Times New Roman" w:cs="Times New Roman" w:eastAsia="Times New Roman" w:hAnsi="Times New Roman"/>
          <w:sz w:val="21"/>
          <w:szCs w:val="21"/>
          <w:u w:val="single" w:color="auto"/>
          <w:color w:val="auto"/>
        </w:rPr>
        <w:t>Prorated Bonus</w:t>
      </w:r>
      <w:r>
        <w:rPr>
          <w:rFonts w:ascii="Times New Roman" w:cs="Times New Roman" w:eastAsia="Times New Roman" w:hAnsi="Times New Roman"/>
          <w:sz w:val="21"/>
          <w:szCs w:val="21"/>
          <w:color w:val="auto"/>
        </w:rPr>
        <w:t>”);</w:t>
      </w:r>
    </w:p>
    <w:p>
      <w:pPr>
        <w:spacing w:after="0" w:line="212" w:lineRule="exact"/>
        <w:rPr>
          <w:rFonts w:ascii="Times New Roman" w:cs="Times New Roman" w:eastAsia="Times New Roman" w:hAnsi="Times New Roman"/>
          <w:sz w:val="21"/>
          <w:szCs w:val="21"/>
          <w:color w:val="auto"/>
        </w:rPr>
      </w:pPr>
    </w:p>
    <w:p>
      <w:pPr>
        <w:jc w:val="both"/>
        <w:ind w:left="1860" w:hanging="615"/>
        <w:spacing w:after="0" w:line="252" w:lineRule="auto"/>
        <w:tabs>
          <w:tab w:leader="none" w:pos="1851"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 sum payment (in an amount net of any taxes deducted and other required withholdings) equal to twenty-four (24) times the monthly cost (as of the Date of Termination) for Executive to receive continued coverage under COBRA for health, dental and vision benefits then being provided for Executive at the Company’s cost on the Date of Termination. This amount will be paid on the first payroll date immediately following the thirty (30)-calendar-day anniversary of the Date of Termination and will not take into account increases in coverage costs after the Date of Termination; and</w:t>
      </w:r>
    </w:p>
    <w:p>
      <w:pPr>
        <w:spacing w:after="0" w:line="199" w:lineRule="exact"/>
        <w:rPr>
          <w:rFonts w:ascii="Times New Roman" w:cs="Times New Roman" w:eastAsia="Times New Roman" w:hAnsi="Times New Roman"/>
          <w:sz w:val="21"/>
          <w:szCs w:val="21"/>
          <w:color w:val="auto"/>
        </w:rPr>
      </w:pPr>
    </w:p>
    <w:p>
      <w:pPr>
        <w:jc w:val="both"/>
        <w:ind w:left="1860" w:hanging="615"/>
        <w:spacing w:after="0" w:line="258" w:lineRule="auto"/>
        <w:tabs>
          <w:tab w:leader="none" w:pos="185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for up to twelve (12) months, or until Executive obtains new employment if sooner, executive-level outplacement services (which provides as part of the outplacement services the use of an office and secretarial support as near as reasonably practicable to Executive’s residence).</w:t>
      </w:r>
    </w:p>
    <w:p>
      <w:pPr>
        <w:spacing w:after="0" w:line="191" w:lineRule="exact"/>
        <w:rPr>
          <w:sz w:val="20"/>
          <w:szCs w:val="20"/>
          <w:color w:val="auto"/>
        </w:rPr>
      </w:pPr>
    </w:p>
    <w:p>
      <w:pPr>
        <w:jc w:val="both"/>
        <w:ind w:firstLine="1245"/>
        <w:spacing w:after="0" w:line="258" w:lineRule="auto"/>
        <w:tabs>
          <w:tab w:leader="none" w:pos="18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Mitigation</w:t>
      </w:r>
      <w:r>
        <w:rPr>
          <w:rFonts w:ascii="Times New Roman" w:cs="Times New Roman" w:eastAsia="Times New Roman" w:hAnsi="Times New Roman"/>
          <w:sz w:val="21"/>
          <w:szCs w:val="21"/>
          <w:color w:val="auto"/>
        </w:rPr>
        <w:t>. Executive shall not be required to mitigate the amount of any payments provided in this Section 12 by seeking other employment or otherwise, nor shall the amount of any payment provided for in this Section 12 be reduced by any compensation earned by Executive as a result of employment by another company or business, or by profits earned by Executive from any other source at any time before or after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67" w:right="339" w:bottom="1440" w:gutter="0" w:footer="0" w:header="0"/>
        </w:sectPr>
      </w:pPr>
    </w:p>
    <w:bookmarkStart w:id="16" w:name="page17"/>
    <w:bookmarkEnd w:id="16"/>
    <w:p>
      <w:pPr>
        <w:jc w:val="both"/>
        <w:ind w:firstLine="1245"/>
        <w:spacing w:after="0" w:line="254" w:lineRule="auto"/>
        <w:tabs>
          <w:tab w:leader="none" w:pos="1858"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Executive without Good Reason or by Company for Cause</w:t>
      </w:r>
      <w:r>
        <w:rPr>
          <w:rFonts w:ascii="Times New Roman" w:cs="Times New Roman" w:eastAsia="Times New Roman" w:hAnsi="Times New Roman"/>
          <w:sz w:val="21"/>
          <w:szCs w:val="21"/>
          <w:color w:val="auto"/>
        </w:rPr>
        <w:t>. If, prior to the expiration of the Term, Executive terminates Executive’s employment without Good Reason or if the Company terminates Executive’s employment for Cause, Executive shall be entitled to receive the Accrued Obligations at the times set forth in Sections 12(b)(i), (ii) and (iii), respectively, and Executive shall be entitled to no other compensation, bonus, payments or benefits except as expressly provided in this Section 12(d) or Section 12(f) below.</w:t>
      </w:r>
    </w:p>
    <w:p>
      <w:pPr>
        <w:spacing w:after="0" w:line="196" w:lineRule="exact"/>
        <w:rPr>
          <w:rFonts w:ascii="Times New Roman" w:cs="Times New Roman" w:eastAsia="Times New Roman" w:hAnsi="Times New Roman"/>
          <w:sz w:val="21"/>
          <w:szCs w:val="21"/>
          <w:color w:val="auto"/>
        </w:rPr>
      </w:pPr>
    </w:p>
    <w:p>
      <w:pPr>
        <w:jc w:val="both"/>
        <w:ind w:firstLine="1245"/>
        <w:spacing w:after="0" w:line="252" w:lineRule="auto"/>
        <w:tabs>
          <w:tab w:leader="none" w:pos="186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upon Disability or Death</w:t>
      </w:r>
      <w:r>
        <w:rPr>
          <w:rFonts w:ascii="Times New Roman" w:cs="Times New Roman" w:eastAsia="Times New Roman" w:hAnsi="Times New Roman"/>
          <w:sz w:val="21"/>
          <w:szCs w:val="21"/>
          <w:color w:val="auto"/>
        </w:rPr>
        <w:t>. If Executive’s employment shall terminate by reason of Executive’s Disability (pursuant to Section 11(a)(ii)) or death (pursuant to Section 11(a)(i)), the Company shall pay to Executive or Executive’s estate (as applicable) the Accrued Obligations at the times set forth in Sections 12(b)(i), (ii) and (iii), respectively, and the Prorated Bonus. In the case of Disability, if there is a period of time during which Executive is not being paid Annual Base Salary and not receiving long-term disability insurance payments, the Company shall (subject to Section 31(a)) make interim payments to Executive equal to such unpaid disability insurance payments until the commencement of disability insurance payments.</w:t>
      </w:r>
    </w:p>
    <w:p>
      <w:pPr>
        <w:spacing w:after="0" w:line="199" w:lineRule="exact"/>
        <w:rPr>
          <w:rFonts w:ascii="Times New Roman" w:cs="Times New Roman" w:eastAsia="Times New Roman" w:hAnsi="Times New Roman"/>
          <w:sz w:val="21"/>
          <w:szCs w:val="21"/>
          <w:color w:val="auto"/>
        </w:rPr>
      </w:pPr>
    </w:p>
    <w:p>
      <w:pPr>
        <w:jc w:val="both"/>
        <w:ind w:firstLine="1245"/>
        <w:spacing w:after="0" w:line="258" w:lineRule="auto"/>
        <w:tabs>
          <w:tab w:leader="none" w:pos="1863"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Expiration of Term</w:t>
      </w:r>
      <w:r>
        <w:rPr>
          <w:rFonts w:ascii="Times New Roman" w:cs="Times New Roman" w:eastAsia="Times New Roman" w:hAnsi="Times New Roman"/>
          <w:sz w:val="21"/>
          <w:szCs w:val="21"/>
          <w:color w:val="auto"/>
        </w:rPr>
        <w:t>. Subject to Section 11(a)(vii), if Executive’s termination due to expiration of the Term occurs following the Company’s delivery or deemed delivery to Executive of a Non-renewal Notice, Executive’s right to payments and benefits upon termination shall be governed by Section 12(b) (as if Executive’s employment had been terminated with Good Reason, or by the Company other than for Cause and other than for death or Disability) rather than Section 12(d).</w:t>
      </w:r>
    </w:p>
    <w:p>
      <w:pPr>
        <w:spacing w:after="0" w:line="190" w:lineRule="exact"/>
        <w:rPr>
          <w:rFonts w:ascii="Times New Roman" w:cs="Times New Roman" w:eastAsia="Times New Roman" w:hAnsi="Times New Roman"/>
          <w:sz w:val="21"/>
          <w:szCs w:val="21"/>
          <w:color w:val="auto"/>
        </w:rPr>
      </w:pPr>
    </w:p>
    <w:p>
      <w:pPr>
        <w:jc w:val="both"/>
        <w:ind w:firstLine="1245"/>
        <w:spacing w:after="0" w:line="254" w:lineRule="auto"/>
        <w:tabs>
          <w:tab w:leader="none" w:pos="1858"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 on Any Termination.</w:t>
      </w:r>
      <w:r>
        <w:rPr>
          <w:rFonts w:ascii="Times New Roman" w:cs="Times New Roman" w:eastAsia="Times New Roman" w:hAnsi="Times New Roman"/>
          <w:sz w:val="21"/>
          <w:szCs w:val="21"/>
          <w:color w:val="auto"/>
        </w:rPr>
        <w:t xml:space="preserve"> On any termination of Executive’s employment hereunder, Executive shall be entitled to other or additional benefits in accordance with the then applicable terms of applicable plans, programs, corporate governance documents, agreements and arrangements of the Company and its affiliates (excluding any such plans, programs, corporate governance documents, agreements and arrangements of the Company and its affiliates providing for severance payments and/or benefits) (collectively, “</w:t>
      </w:r>
      <w:r>
        <w:rPr>
          <w:rFonts w:ascii="Times New Roman" w:cs="Times New Roman" w:eastAsia="Times New Roman" w:hAnsi="Times New Roman"/>
          <w:sz w:val="21"/>
          <w:szCs w:val="21"/>
          <w:u w:val="single" w:color="auto"/>
          <w:color w:val="auto"/>
        </w:rPr>
        <w:t>Company Arrangements</w:t>
      </w:r>
      <w:r>
        <w:rPr>
          <w:rFonts w:ascii="Times New Roman" w:cs="Times New Roman" w:eastAsia="Times New Roman" w:hAnsi="Times New Roman"/>
          <w:sz w:val="21"/>
          <w:szCs w:val="21"/>
          <w:color w:val="auto"/>
        </w:rPr>
        <w:t>”).</w:t>
      </w:r>
    </w:p>
    <w:p>
      <w:pPr>
        <w:spacing w:after="0" w:line="196" w:lineRule="exact"/>
        <w:rPr>
          <w:rFonts w:ascii="Times New Roman" w:cs="Times New Roman" w:eastAsia="Times New Roman" w:hAnsi="Times New Roman"/>
          <w:sz w:val="21"/>
          <w:szCs w:val="21"/>
          <w:color w:val="auto"/>
        </w:rPr>
      </w:pPr>
    </w:p>
    <w:p>
      <w:pPr>
        <w:jc w:val="both"/>
        <w:ind w:firstLine="1245"/>
        <w:spacing w:after="0" w:line="262" w:lineRule="auto"/>
        <w:tabs>
          <w:tab w:leader="none" w:pos="1858"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Payments</w:t>
      </w:r>
      <w:r>
        <w:rPr>
          <w:rFonts w:ascii="Times New Roman" w:cs="Times New Roman" w:eastAsia="Times New Roman" w:hAnsi="Times New Roman"/>
          <w:sz w:val="20"/>
          <w:szCs w:val="20"/>
          <w:color w:val="auto"/>
        </w:rPr>
        <w:t xml:space="preserve">. Any and all amounts payable and benefits or additional rights provided pursuant to Sections 12(b)(A)-(D) shall be paid only if Executive signs and delivers to the Company and does not (within the applicable revocation period) revoke a general release of claims in favor of the Company, its affiliates, and their respective successors, assigns, officers, directors and representatives in substantially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within no later than sixty</w:t>
      </w:r>
    </w:p>
    <w:p>
      <w:pPr>
        <w:spacing w:after="0" w:line="3" w:lineRule="exact"/>
        <w:rPr>
          <w:rFonts w:ascii="Times New Roman" w:cs="Times New Roman" w:eastAsia="Times New Roman" w:hAnsi="Times New Roman"/>
          <w:sz w:val="20"/>
          <w:szCs w:val="20"/>
          <w:color w:val="auto"/>
        </w:rPr>
      </w:pPr>
    </w:p>
    <w:p>
      <w:pPr>
        <w:jc w:val="both"/>
        <w:ind w:firstLine="3"/>
        <w:spacing w:after="0" w:line="252" w:lineRule="auto"/>
        <w:tabs>
          <w:tab w:leader="none" w:pos="39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calendar days following the Date of Termination. If Executive does not timely sign and deliver such Release to the Company, or if Executive timely revokes such Release, Executive hereby acknowledges and agrees that Executive shall forfeit any and all right to any and all amounts payable and benefits or additional rights provided pursuant to Sections 12(b)(A)-(D).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67" w:right="339" w:bottom="1440" w:gutter="0" w:footer="0" w:header="0"/>
        </w:sectPr>
      </w:pPr>
    </w:p>
    <w:bookmarkStart w:id="17" w:name="page18"/>
    <w:bookmarkEnd w:id="17"/>
    <w:p>
      <w:pPr>
        <w:ind w:firstLine="1245"/>
        <w:spacing w:after="0" w:line="273" w:lineRule="auto"/>
        <w:tabs>
          <w:tab w:leader="none" w:pos="1851"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Except as otherwise set forth in this Agreement, the respective rights and obligations of the Parties under this Agreement shall survive any termination of Executive’s employment.</w:t>
      </w:r>
    </w:p>
    <w:p>
      <w:pPr>
        <w:spacing w:after="0" w:line="175"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Excess Parachute Payment</w:t>
      </w:r>
      <w:r>
        <w:rPr>
          <w:rFonts w:ascii="Times New Roman" w:cs="Times New Roman" w:eastAsia="Times New Roman" w:hAnsi="Times New Roman"/>
          <w:sz w:val="21"/>
          <w:szCs w:val="21"/>
          <w:color w:val="auto"/>
        </w:rPr>
        <w:t>.</w:t>
      </w:r>
    </w:p>
    <w:p>
      <w:pPr>
        <w:spacing w:after="0" w:line="250" w:lineRule="exact"/>
        <w:rPr>
          <w:rFonts w:ascii="Times New Roman" w:cs="Times New Roman" w:eastAsia="Times New Roman" w:hAnsi="Times New Roman"/>
          <w:sz w:val="21"/>
          <w:szCs w:val="21"/>
          <w:color w:val="auto"/>
        </w:rPr>
      </w:pPr>
    </w:p>
    <w:p>
      <w:pPr>
        <w:jc w:val="both"/>
        <w:ind w:firstLine="1245"/>
        <w:spacing w:after="0" w:line="249" w:lineRule="auto"/>
        <w:tabs>
          <w:tab w:leader="none" w:pos="186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or the Plan to the contrary notwithstanding,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is or will be subject to the excise tax imposed under Section 4999 of the Code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Total Payments shall be reduced (but not below zero) to the Safe Harbor Amount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w:t>
      </w:r>
      <w:r>
        <w:rPr>
          <w:rFonts w:ascii="Times New Roman" w:cs="Times New Roman" w:eastAsia="Times New Roman" w:hAnsi="Times New Roman"/>
          <w:sz w:val="21"/>
          <w:szCs w:val="21"/>
          <w:u w:val="single" w:color="auto"/>
          <w:color w:val="auto"/>
        </w:rPr>
        <w:t>Safe Harbor Amount</w:t>
      </w:r>
      <w:r>
        <w:rPr>
          <w:rFonts w:ascii="Times New Roman" w:cs="Times New Roman" w:eastAsia="Times New Roman" w:hAnsi="Times New Roman"/>
          <w:sz w:val="21"/>
          <w:szCs w:val="21"/>
          <w:color w:val="auto"/>
        </w:rPr>
        <w: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w:t>
      </w:r>
    </w:p>
    <w:p>
      <w:pPr>
        <w:spacing w:after="0" w:line="201" w:lineRule="exact"/>
        <w:rPr>
          <w:rFonts w:ascii="Times New Roman" w:cs="Times New Roman" w:eastAsia="Times New Roman" w:hAnsi="Times New Roman"/>
          <w:sz w:val="21"/>
          <w:szCs w:val="21"/>
          <w:color w:val="auto"/>
        </w:rPr>
      </w:pPr>
    </w:p>
    <w:p>
      <w:pPr>
        <w:jc w:val="both"/>
        <w:ind w:firstLine="1245"/>
        <w:spacing w:after="0" w:line="248" w:lineRule="auto"/>
        <w:tabs>
          <w:tab w:leader="none" w:pos="1858"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determination of whether the Total Payments shall be reduced as provided in Section 13(a) and the amount of such reduction shall be made at the Company’s expense by an accounting firm selected by the Company from among the ten (10) largest accounting firms in the United States or by qualified independent tax counsel (the “</w:t>
      </w:r>
      <w:r>
        <w:rPr>
          <w:rFonts w:ascii="Times New Roman" w:cs="Times New Roman" w:eastAsia="Times New Roman" w:hAnsi="Times New Roman"/>
          <w:sz w:val="21"/>
          <w:szCs w:val="21"/>
          <w:u w:val="single" w:color="auto"/>
          <w:color w:val="auto"/>
        </w:rPr>
        <w:t>Determining Party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Executive shall be given advance notice of the Determining Party selected by the Company, and shall have the opportunity to reject the selection, within two (2) business days of being notified of the selection, on the basis of that Determining Party’s having a conflict of interest or other reasonable basis, in which case the Company shall select an alternative auditing firm among the ten (10) largest accounting firms in the United States or alternative independent qualified tax counsel, which shall become the Determining Party. Such Determining Party shall provide its determination (the “</w:t>
      </w:r>
      <w:r>
        <w:rPr>
          <w:rFonts w:ascii="Times New Roman" w:cs="Times New Roman" w:eastAsia="Times New Roman" w:hAnsi="Times New Roman"/>
          <w:sz w:val="21"/>
          <w:szCs w:val="21"/>
          <w:u w:val="single" w:color="auto"/>
          <w:color w:val="auto"/>
        </w:rPr>
        <w:t>Determination</w:t>
      </w:r>
      <w:r>
        <w:rPr>
          <w:rFonts w:ascii="Times New Roman" w:cs="Times New Roman" w:eastAsia="Times New Roman" w:hAnsi="Times New Roman"/>
          <w:sz w:val="21"/>
          <w:szCs w:val="21"/>
          <w:color w:val="auto"/>
        </w:rPr>
        <w:t>”), together with detailed supporting calculations and documentation to the Company and Executive, within ten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13(a), or to have such Determination reviewed by another accounting firm selected by the Company, at the Company’s expense. If the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67" w:right="339" w:bottom="1440" w:gutter="0" w:footer="0" w:header="0"/>
        </w:sectPr>
      </w:pPr>
    </w:p>
    <w:bookmarkStart w:id="18" w:name="page19"/>
    <w:bookmarkEnd w:id="18"/>
    <w:p>
      <w:pPr>
        <w:spacing w:after="0" w:line="273" w:lineRule="auto"/>
        <w:rPr>
          <w:sz w:val="20"/>
          <w:szCs w:val="20"/>
          <w:color w:val="auto"/>
        </w:rPr>
      </w:pPr>
      <w:r>
        <w:rPr>
          <w:rFonts w:ascii="Times New Roman" w:cs="Times New Roman" w:eastAsia="Times New Roman" w:hAnsi="Times New Roman"/>
          <w:sz w:val="21"/>
          <w:szCs w:val="21"/>
          <w:color w:val="auto"/>
        </w:rPr>
        <w:t>accounting firms do not agree, a third accounting firm shall be jointly chosen by Executive and the Company, in which case the determination of such third accounting firm shall be binding, final and conclusive upon the Company and Executive.</w:t>
      </w:r>
    </w:p>
    <w:p>
      <w:pPr>
        <w:spacing w:after="0" w:line="175" w:lineRule="exact"/>
        <w:rPr>
          <w:sz w:val="20"/>
          <w:szCs w:val="20"/>
          <w:color w:val="auto"/>
        </w:rPr>
      </w:pPr>
    </w:p>
    <w:p>
      <w:pPr>
        <w:jc w:val="both"/>
        <w:ind w:firstLine="1245"/>
        <w:spacing w:after="0" w:line="251" w:lineRule="auto"/>
        <w:tabs>
          <w:tab w:leader="none" w:pos="1860"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notwithstanding any reduction described in this Section 13, the IRS determines that Executive is liable for the Excise Tax as a result of the receipt of any of the Total Payments or otherwise, then Executive shall be obligated to pay back to the Company, within thirty (30) calendar days after a final IRS determination or in the event that Executive challenges the final IRS determination, a final judicial determination, a portion of the Total Payments equal to the Repayment Amount. The “</w:t>
      </w:r>
      <w:r>
        <w:rPr>
          <w:rFonts w:ascii="Times New Roman" w:cs="Times New Roman" w:eastAsia="Times New Roman" w:hAnsi="Times New Roman"/>
          <w:sz w:val="21"/>
          <w:szCs w:val="21"/>
          <w:u w:val="single" w:color="auto"/>
          <w:color w:val="auto"/>
        </w:rPr>
        <w:t>Repayment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with respect to the payment of benefits shall be the smallest such amount, if any, as shall be required to be paid to the Company so that Executive’s net after-tax proceeds with respect to the Total Payments (after taking into account the payment of the Excise Tax and all other applicable taxes imposed on the Payment) shall be maximized. The Repayment Amount shall be zero if a Repayment Amount of more than zero would not result in Executive’s net after-tax proceeds with respect to the Total Payments being maximized. If the Excise Tax is not eliminated pursuant to this Section 13(c), Executive shall pay the Excise Tax.</w:t>
      </w:r>
    </w:p>
    <w:p>
      <w:pPr>
        <w:spacing w:after="0" w:line="197" w:lineRule="exact"/>
        <w:rPr>
          <w:rFonts w:ascii="Times New Roman" w:cs="Times New Roman" w:eastAsia="Times New Roman" w:hAnsi="Times New Roman"/>
          <w:sz w:val="21"/>
          <w:szCs w:val="21"/>
          <w:color w:val="auto"/>
        </w:rPr>
      </w:pPr>
    </w:p>
    <w:p>
      <w:pPr>
        <w:jc w:val="both"/>
        <w:ind w:firstLine="1245"/>
        <w:spacing w:after="0" w:line="265" w:lineRule="auto"/>
        <w:tabs>
          <w:tab w:leader="none" w:pos="1858"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Section 13, if (i) there is a reduction in the Total Payments as described in this Section 13, (ii) the IRS later determines that Executive is liable for the Excise Tax, the payment of which would result in the maximization of Executive’s net after-tax proceeds (calculated as if Executive’s benefits had not previously been reduced), and</w:t>
      </w:r>
    </w:p>
    <w:p>
      <w:pPr>
        <w:jc w:val="both"/>
        <w:ind w:firstLine="3"/>
        <w:spacing w:after="0" w:line="271" w:lineRule="auto"/>
        <w:tabs>
          <w:tab w:leader="none" w:pos="36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pays the Excise Tax, then the Company shall pay to Executive those payments or benefits which were reduced pursuant to this Section 13 as soon as administratively possible after Executive pays the Excise Tax (but not later than March 15 following the calendar year of the IRS determination) so that Executive’s net after-tax proceeds with respect to the Total Payments are maximized.</w:t>
      </w:r>
    </w:p>
    <w:p>
      <w:pPr>
        <w:spacing w:after="0" w:line="179" w:lineRule="exact"/>
        <w:rPr>
          <w:rFonts w:ascii="Times New Roman" w:cs="Times New Roman" w:eastAsia="Times New Roman" w:hAnsi="Times New Roman"/>
          <w:sz w:val="20"/>
          <w:szCs w:val="20"/>
          <w:color w:val="auto"/>
        </w:rPr>
      </w:pPr>
    </w:p>
    <w:p>
      <w:pPr>
        <w:jc w:val="both"/>
        <w:ind w:firstLine="1245"/>
        <w:spacing w:after="0" w:line="252" w:lineRule="auto"/>
        <w:tabs>
          <w:tab w:leader="none" w:pos="1860"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196"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Competition/Confidentiality</w:t>
      </w:r>
      <w:r>
        <w:rPr>
          <w:rFonts w:ascii="Times New Roman" w:cs="Times New Roman" w:eastAsia="Times New Roman" w:hAnsi="Times New Roman"/>
          <w:sz w:val="21"/>
          <w:szCs w:val="21"/>
          <w:color w:val="auto"/>
        </w:rPr>
        <w:t>.</w:t>
      </w:r>
    </w:p>
    <w:p>
      <w:pPr>
        <w:spacing w:after="0" w:line="237" w:lineRule="exact"/>
        <w:rPr>
          <w:rFonts w:ascii="Times New Roman" w:cs="Times New Roman" w:eastAsia="Times New Roman" w:hAnsi="Times New Roman"/>
          <w:sz w:val="21"/>
          <w:szCs w:val="21"/>
          <w:color w:val="auto"/>
        </w:rPr>
      </w:pPr>
    </w:p>
    <w:p>
      <w:pPr>
        <w:jc w:val="both"/>
        <w:ind w:firstLine="1245"/>
        <w:spacing w:after="0" w:line="265" w:lineRule="auto"/>
        <w:tabs>
          <w:tab w:leader="none" w:pos="1853" w:val="left"/>
        </w:tabs>
        <w:numPr>
          <w:ilvl w:val="2"/>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Acknowledgments by Executive</w:t>
      </w:r>
      <w:r>
        <w:rPr>
          <w:rFonts w:ascii="Times New Roman" w:cs="Times New Roman" w:eastAsia="Times New Roman" w:hAnsi="Times New Roman"/>
          <w:sz w:val="21"/>
          <w:szCs w:val="21"/>
          <w:color w:val="auto"/>
        </w:rPr>
        <w:t>. Executive acknowledges that: (i) on and following the Effective Date and through the Term and as a part of Executive’s employment, Executive has been and will be afforded access to Confidential Information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67" w:right="339" w:bottom="1440" w:gutter="0" w:footer="0" w:header="0"/>
        </w:sectPr>
      </w:pPr>
    </w:p>
    <w:bookmarkStart w:id="19" w:name="page20"/>
    <w:bookmarkEnd w:id="19"/>
    <w:p>
      <w:pPr>
        <w:jc w:val="both"/>
        <w:ind w:firstLine="3"/>
        <w:spacing w:after="0" w:line="251" w:lineRule="auto"/>
        <w:tabs>
          <w:tab w:leader="none" w:pos="309"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public disclosure of such Confidential Information could have an adverse effect on the Company, its affiliates and its business; (iii) because Executive possesses substantial technical expertise and skill with respect to the Company’s business, the Company desires to obtain exclusive ownership of each invention by Executive while Executive is employed by the Company or its affiliates, and the Company and its affiliates will be at a substantial competitive disadvantage if the Company fails to acquire exclusive ownership of each such invention by Executive; and (iv) the provisions of this Section 14 are reasonable and necessary to prevent the improper use or disclosure of Confidential Information and to provide the Company with exclusive ownership of all inventions and works made or created by Executive.</w:t>
      </w:r>
    </w:p>
    <w:p>
      <w:pPr>
        <w:spacing w:after="0" w:line="198"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250" w:lineRule="exact"/>
        <w:rPr>
          <w:rFonts w:ascii="Times New Roman" w:cs="Times New Roman" w:eastAsia="Times New Roman" w:hAnsi="Times New Roman"/>
          <w:sz w:val="21"/>
          <w:szCs w:val="21"/>
          <w:color w:val="auto"/>
        </w:rPr>
      </w:pPr>
    </w:p>
    <w:p>
      <w:pPr>
        <w:jc w:val="both"/>
        <w:ind w:firstLine="1866"/>
        <w:spacing w:after="0" w:line="252" w:lineRule="auto"/>
        <w:tabs>
          <w:tab w:leader="none" w:pos="2481" w:val="left"/>
        </w:tabs>
        <w:numPr>
          <w:ilvl w:val="2"/>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Executive acknowledges that on and following the Effective Date and through the Term, Executive has had and will have access to and may obtain, develop, or learn of Confidential Information under and pursuant to a relationship of trust and confidence. Executive shall hold such Confidential Information in strictest confidence and never at any time, during or after Executive’s employment terminates, directly or indirectly use for Executive’s own benefit or otherwise (except in connection with the performance of any duties as an employee hereunder) any Confidential Information, or divulge, reveal, disclose or communicate any Confidential Information to any unauthorized person or entity in any manner whatsoever.</w:t>
      </w:r>
    </w:p>
    <w:p>
      <w:pPr>
        <w:spacing w:after="0" w:line="199" w:lineRule="exact"/>
        <w:rPr>
          <w:rFonts w:ascii="Times New Roman" w:cs="Times New Roman" w:eastAsia="Times New Roman" w:hAnsi="Times New Roman"/>
          <w:sz w:val="19"/>
          <w:szCs w:val="19"/>
          <w:color w:val="auto"/>
        </w:rPr>
      </w:pPr>
    </w:p>
    <w:p>
      <w:pPr>
        <w:jc w:val="both"/>
        <w:ind w:firstLine="1866"/>
        <w:spacing w:after="0" w:line="258" w:lineRule="auto"/>
        <w:tabs>
          <w:tab w:leader="none" w:pos="2478" w:val="left"/>
        </w:tabs>
        <w:numPr>
          <w:ilvl w:val="2"/>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in this Agreement, the term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shall include, but not be limited to, any of the following information relating to the Company or any of its affiliates learned by Executive on and following the Effective Date and through the Term or as a result of Executive’s employment with the Company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-353060</wp:posOffset>
            </wp:positionV>
            <wp:extent cx="4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275" cy="8255"/>
                    </a:xfrm>
                    <a:prstGeom prst="rect">
                      <a:avLst/>
                    </a:prstGeom>
                    <a:noFill/>
                  </pic:spPr>
                </pic:pic>
              </a:graphicData>
            </a:graphic>
          </wp:anchor>
        </w:drawing>
      </w:r>
    </w:p>
    <w:p>
      <w:pPr>
        <w:spacing w:after="0" w:line="184" w:lineRule="exact"/>
        <w:rPr>
          <w:sz w:val="20"/>
          <w:szCs w:val="20"/>
          <w:color w:val="auto"/>
        </w:rPr>
      </w:pPr>
    </w:p>
    <w:p>
      <w:pPr>
        <w:ind w:left="2480" w:hanging="614"/>
        <w:spacing w:after="0" w:line="273" w:lineRule="auto"/>
        <w:tabs>
          <w:tab w:leader="none" w:pos="2471"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information regarding business proposals, manner of operations, and methods of selling or pricing any products or services of the Company or its affiliates;</w:t>
      </w:r>
    </w:p>
    <w:p>
      <w:pPr>
        <w:spacing w:after="0" w:line="175" w:lineRule="exact"/>
        <w:rPr>
          <w:rFonts w:ascii="Times New Roman" w:cs="Times New Roman" w:eastAsia="Times New Roman" w:hAnsi="Times New Roman"/>
          <w:sz w:val="19"/>
          <w:szCs w:val="19"/>
          <w:color w:val="auto"/>
        </w:rPr>
      </w:pPr>
    </w:p>
    <w:p>
      <w:pPr>
        <w:jc w:val="both"/>
        <w:ind w:left="2480" w:hanging="614"/>
        <w:spacing w:after="0" w:line="265" w:lineRule="auto"/>
        <w:tabs>
          <w:tab w:leader="none" w:pos="247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identity of persons or entities actually conducting or considering conducting business with the Company or its affiliates, and any information in any form relating to such persons or entities and their relationship or dealings with the Company or its affiliates;</w:t>
      </w:r>
    </w:p>
    <w:p>
      <w:pPr>
        <w:spacing w:after="0" w:line="183" w:lineRule="exact"/>
        <w:rPr>
          <w:rFonts w:ascii="Times New Roman" w:cs="Times New Roman" w:eastAsia="Times New Roman" w:hAnsi="Times New Roman"/>
          <w:sz w:val="21"/>
          <w:szCs w:val="21"/>
          <w:color w:val="auto"/>
        </w:rPr>
      </w:pPr>
    </w:p>
    <w:p>
      <w:pPr>
        <w:ind w:left="2480" w:hanging="614"/>
        <w:spacing w:after="0" w:line="273" w:lineRule="auto"/>
        <w:tabs>
          <w:tab w:leader="none" w:pos="247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trade secret or confidential information of or concerning any business operation or business relationship;</w:t>
      </w:r>
    </w:p>
    <w:p>
      <w:pPr>
        <w:spacing w:after="0" w:line="175" w:lineRule="exact"/>
        <w:rPr>
          <w:rFonts w:ascii="Times New Roman" w:cs="Times New Roman" w:eastAsia="Times New Roman" w:hAnsi="Times New Roman"/>
          <w:sz w:val="21"/>
          <w:szCs w:val="21"/>
          <w:color w:val="auto"/>
        </w:rPr>
      </w:pPr>
    </w:p>
    <w:p>
      <w:pPr>
        <w:ind w:left="2480" w:hanging="614"/>
        <w:spacing w:after="0" w:line="285" w:lineRule="auto"/>
        <w:tabs>
          <w:tab w:leader="none" w:pos="247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computer databases, software programs and information relating to the nature of the hardware or software and how said hardware or software is used in combination or alone;</w:t>
      </w:r>
    </w:p>
    <w:p>
      <w:pPr>
        <w:spacing w:after="0" w:line="163" w:lineRule="exact"/>
        <w:rPr>
          <w:rFonts w:ascii="Times New Roman" w:cs="Times New Roman" w:eastAsia="Times New Roman" w:hAnsi="Times New Roman"/>
          <w:sz w:val="21"/>
          <w:szCs w:val="21"/>
          <w:color w:val="auto"/>
        </w:rPr>
      </w:pPr>
    </w:p>
    <w:p>
      <w:pPr>
        <w:ind w:left="2480" w:hanging="614"/>
        <w:spacing w:after="0" w:line="273" w:lineRule="auto"/>
        <w:tabs>
          <w:tab w:leader="none" w:pos="247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concerning Company personnel, confidential financial information, customer or customer prospect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67" w:right="339" w:bottom="1440" w:gutter="0" w:footer="0" w:header="0"/>
        </w:sectPr>
      </w:pPr>
    </w:p>
    <w:bookmarkStart w:id="20" w:name="page21"/>
    <w:bookmarkEnd w:id="20"/>
    <w:p>
      <w:pPr>
        <w:jc w:val="both"/>
        <w:ind w:left="2480"/>
        <w:spacing w:after="0" w:line="250" w:lineRule="auto"/>
        <w:rPr>
          <w:sz w:val="20"/>
          <w:szCs w:val="20"/>
          <w:color w:val="auto"/>
        </w:rPr>
      </w:pPr>
      <w:r>
        <w:rPr>
          <w:rFonts w:ascii="Times New Roman" w:cs="Times New Roman" w:eastAsia="Times New Roman" w:hAnsi="Times New Roman"/>
          <w:sz w:val="21"/>
          <w:szCs w:val="21"/>
          <w:color w:val="auto"/>
        </w:rPr>
        <w:t>information concerning subscribers, subscriber and customer lists and data, methods and formulas for estimating costs and setting prices, engineering design standards, testing procedures, research results (such as marketing surveys, programming trials or product trials), cost data (such as billing, equipment and programming cost projection models), compensation information and models, business or marketing plans or strategies, deal or business terms, budgets, vendor names, programming operations, product names, information on proposed acquisitions or dispositions, actual performance compared to budgeted performance, long range plans, internal financial information (including but not limited to financial and operating results for certain offices, divisions, departments, and key market areas that are not disclosed to the public in such form), results of internal analyses, computer programs and programming information, techniques and designs, and trade secrets;</w:t>
      </w:r>
    </w:p>
    <w:p>
      <w:pPr>
        <w:spacing w:after="0" w:line="201" w:lineRule="exact"/>
        <w:rPr>
          <w:sz w:val="20"/>
          <w:szCs w:val="20"/>
          <w:color w:val="auto"/>
        </w:rPr>
      </w:pPr>
    </w:p>
    <w:p>
      <w:pPr>
        <w:ind w:left="2480" w:hanging="614"/>
        <w:spacing w:after="0" w:line="273" w:lineRule="auto"/>
        <w:tabs>
          <w:tab w:leader="none" w:pos="247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concerning the employees, officers, directors and shareholders of the Company and its affiliates; and</w:t>
      </w:r>
    </w:p>
    <w:p>
      <w:pPr>
        <w:spacing w:after="0" w:line="175" w:lineRule="exact"/>
        <w:rPr>
          <w:rFonts w:ascii="Times New Roman" w:cs="Times New Roman" w:eastAsia="Times New Roman" w:hAnsi="Times New Roman"/>
          <w:sz w:val="21"/>
          <w:szCs w:val="21"/>
          <w:color w:val="auto"/>
        </w:rPr>
      </w:pPr>
    </w:p>
    <w:p>
      <w:pPr>
        <w:ind w:left="2480" w:hanging="614"/>
        <w:spacing w:after="0"/>
        <w:tabs>
          <w:tab w:leader="none" w:pos="24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trade secret or information of a confidential or proprietary nature.</w:t>
      </w:r>
    </w:p>
    <w:p>
      <w:pPr>
        <w:spacing w:after="0" w:line="237" w:lineRule="exact"/>
        <w:rPr>
          <w:sz w:val="20"/>
          <w:szCs w:val="20"/>
          <w:color w:val="auto"/>
        </w:rPr>
      </w:pPr>
    </w:p>
    <w:p>
      <w:pPr>
        <w:jc w:val="both"/>
        <w:ind w:firstLine="1866"/>
        <w:spacing w:after="0" w:line="258" w:lineRule="auto"/>
        <w:tabs>
          <w:tab w:leader="none" w:pos="2483"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Executive shall not make or use any notes or memoranda relating to any Confidential Information except for uses reasonably expected by Executive to be for the benefit of the Company, and will, at the Company’s request, return each original and every copy of any and all notes, memoranda, correspondence, diagrams or other records, in written or other form, that Executive may at any time have within Executive’s possession or control that contain any Confidential Information.</w:t>
      </w:r>
    </w:p>
    <w:p>
      <w:pPr>
        <w:spacing w:after="0" w:line="203" w:lineRule="exact"/>
        <w:rPr>
          <w:rFonts w:ascii="Times New Roman" w:cs="Times New Roman" w:eastAsia="Times New Roman" w:hAnsi="Times New Roman"/>
          <w:sz w:val="19"/>
          <w:szCs w:val="19"/>
          <w:color w:val="auto"/>
        </w:rPr>
      </w:pPr>
    </w:p>
    <w:p>
      <w:pPr>
        <w:jc w:val="both"/>
        <w:ind w:firstLine="1866"/>
        <w:spacing w:after="0" w:line="249" w:lineRule="auto"/>
        <w:tabs>
          <w:tab w:leader="none" w:pos="247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Confidential Information shall not include information that has come within the public domain through no fault of or action by Executive or that has become rightfully available to Executive on a non-confidential basis from any third party, the disclosure of which to Executive does not violate any contractual or legal obligations that such third party has to the Company or its affiliates with respect to such Confidential Information. None of the foregoing obligations and restrictions applies to any part of the Confidential Information that Executive demonstrates was or became generally available to the public other than as a result of a disclosure by Executive or by any other person bound by a confidentiality obligation to the Company or any of its affiliates in respect of such Confidential Information. Further, nothing herein shall prohibit Executive from using Confidential Information to the extent necessary to exercise any legally protected whistleblower rights (including pursuant to Rule 21F under the Exchange Act).</w:t>
      </w:r>
    </w:p>
    <w:p>
      <w:pPr>
        <w:spacing w:after="0" w:line="202" w:lineRule="exact"/>
        <w:rPr>
          <w:rFonts w:ascii="Times New Roman" w:cs="Times New Roman" w:eastAsia="Times New Roman" w:hAnsi="Times New Roman"/>
          <w:sz w:val="21"/>
          <w:szCs w:val="21"/>
          <w:color w:val="auto"/>
        </w:rPr>
      </w:pPr>
    </w:p>
    <w:p>
      <w:pPr>
        <w:ind w:firstLine="1866"/>
        <w:spacing w:after="0" w:line="273" w:lineRule="auto"/>
        <w:tabs>
          <w:tab w:leader="none" w:pos="2479"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will not remove from the Company’s premises (except to the extent such removal is for purposes of the performance of Executive’s duties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67" w:right="339" w:bottom="1440" w:gutter="0" w:footer="0" w:header="0"/>
        </w:sectPr>
      </w:pPr>
    </w:p>
    <w:bookmarkStart w:id="21" w:name="page22"/>
    <w:bookmarkEnd w:id="21"/>
    <w:p>
      <w:pPr>
        <w:jc w:val="both"/>
        <w:spacing w:after="0" w:line="250" w:lineRule="auto"/>
        <w:rPr>
          <w:sz w:val="20"/>
          <w:szCs w:val="20"/>
          <w:color w:val="auto"/>
        </w:rPr>
      </w:pPr>
      <w:r>
        <w:rPr>
          <w:rFonts w:ascii="Times New Roman" w:cs="Times New Roman" w:eastAsia="Times New Roman" w:hAnsi="Times New Roman"/>
          <w:sz w:val="21"/>
          <w:szCs w:val="21"/>
          <w:color w:val="auto"/>
        </w:rPr>
        <w:t>Company at home or while traveling, or except as otherwise specifically authorized by the Company) any document, record, notebook, plan, model, component, device, or computer software or code, whether embodied in a disk or in any other form, of the Company or its affiliates (collectively, the “</w:t>
      </w:r>
      <w:r>
        <w:rPr>
          <w:rFonts w:ascii="Times New Roman" w:cs="Times New Roman" w:eastAsia="Times New Roman" w:hAnsi="Times New Roman"/>
          <w:sz w:val="21"/>
          <w:szCs w:val="21"/>
          <w:u w:val="single" w:color="auto"/>
          <w:color w:val="auto"/>
        </w:rPr>
        <w:t>Proprietary Items</w:t>
      </w:r>
      <w:r>
        <w:rPr>
          <w:rFonts w:ascii="Times New Roman" w:cs="Times New Roman" w:eastAsia="Times New Roman" w:hAnsi="Times New Roman"/>
          <w:sz w:val="21"/>
          <w:szCs w:val="21"/>
          <w:color w:val="auto"/>
        </w:rPr>
        <w:t>”). Executive recognizes that, as between the Company and Executive, all of the Proprietary Items, whether or not developed by Executive, are the exclusive property of the Company. Upon termination of Executive’s employment by either Party, or upon the request of the Company on and following the Effective Date and through the Term, Executive will return to the Company all of the Proprietary Items in Executive’s possession or subject to Executive’s control, including all equipment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laptop computers, cell phone, portable e-mail devices, etc.), documents, files and data, and Executive shall not retain any copies, abstracts, sketches, or other physical embodiment of any such Proprietary Items.</w:t>
      </w:r>
    </w:p>
    <w:p>
      <w:pPr>
        <w:spacing w:after="0" w:line="213" w:lineRule="exact"/>
        <w:rPr>
          <w:sz w:val="20"/>
          <w:szCs w:val="20"/>
          <w:color w:val="auto"/>
        </w:rPr>
      </w:pPr>
    </w:p>
    <w:p>
      <w:pPr>
        <w:ind w:left="1240" w:hanging="616"/>
        <w:spacing w:after="0"/>
        <w:tabs>
          <w:tab w:leader="none" w:pos="12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Proprietary Developments</w:t>
      </w:r>
      <w:r>
        <w:rPr>
          <w:rFonts w:ascii="Times New Roman" w:cs="Times New Roman" w:eastAsia="Times New Roman" w:hAnsi="Times New Roman"/>
          <w:sz w:val="21"/>
          <w:szCs w:val="21"/>
          <w:color w:val="auto"/>
        </w:rPr>
        <w:t>.</w:t>
      </w:r>
    </w:p>
    <w:p>
      <w:pPr>
        <w:spacing w:after="0" w:line="237" w:lineRule="exact"/>
        <w:rPr>
          <w:rFonts w:ascii="Times New Roman" w:cs="Times New Roman" w:eastAsia="Times New Roman" w:hAnsi="Times New Roman"/>
          <w:sz w:val="21"/>
          <w:szCs w:val="21"/>
          <w:color w:val="auto"/>
        </w:rPr>
      </w:pPr>
    </w:p>
    <w:p>
      <w:pPr>
        <w:jc w:val="both"/>
        <w:ind w:firstLine="1245"/>
        <w:spacing w:after="0" w:line="249" w:lineRule="auto"/>
        <w:tabs>
          <w:tab w:leader="none" w:pos="1853"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Developments</w:t>
      </w:r>
      <w:r>
        <w:rPr>
          <w:rFonts w:ascii="Times New Roman" w:cs="Times New Roman" w:eastAsia="Times New Roman" w:hAnsi="Times New Roman"/>
          <w:sz w:val="21"/>
          <w:szCs w:val="21"/>
          <w:color w:val="auto"/>
        </w:rPr>
        <w:t>. Any and all inventions, products, discoveries, improvements, processes, methods, computer software programs, models, techniques, or formulae (collectively, hereinafter referred to as “</w:t>
      </w:r>
      <w:r>
        <w:rPr>
          <w:rFonts w:ascii="Times New Roman" w:cs="Times New Roman" w:eastAsia="Times New Roman" w:hAnsi="Times New Roman"/>
          <w:sz w:val="21"/>
          <w:szCs w:val="21"/>
          <w:u w:val="single" w:color="auto"/>
          <w:color w:val="auto"/>
        </w:rPr>
        <w:t>Developments</w:t>
      </w:r>
      <w:r>
        <w:rPr>
          <w:rFonts w:ascii="Times New Roman" w:cs="Times New Roman" w:eastAsia="Times New Roman" w:hAnsi="Times New Roman"/>
          <w:sz w:val="21"/>
          <w:szCs w:val="21"/>
          <w:color w:val="auto"/>
        </w:rPr>
        <w:t xml:space="preserve">”), made, conceived, developed, or created by Executive (alone or in conjunction with others, during regular work hours or otherwise) during Executive’s employment which may be directly or indirectly useful in, or relate to, the business conducted or to be conducted by the Company or its affiliates will be promptly disclosed by Executive to the Company and shall be the Company’s exclusive property. The term “Developments” shall not be deemed to include inventions, products, discoveries, improvements, processes, methods, computer software programs, models, techniques, or formulae which were in the possession of Executive prior to the Effective Date. Executive hereby transfers and assigns to the Company all proprietary rights that Executive may have or acquire in any Developments and Executive waives any other special right which Executive may have or accrue therein. Executive will execute any documents and take any actions that may be required, in the reasonable determination of the Company’s counsel, to effect and confirm such assignment, transfer and waiver, to direct the issuance of patents, trademarks, or copyrights to the Company with respect to such Developments as are to be the Company’s exclusive property or to vest in the Company title to such Developments;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expense of securing any patent, trademark or copyright shall be borne by the Company. The Parties agree that Developments shall constitute Confidential Information.</w:t>
      </w:r>
    </w:p>
    <w:p>
      <w:pPr>
        <w:spacing w:after="0" w:line="204" w:lineRule="exact"/>
        <w:rPr>
          <w:rFonts w:ascii="Times New Roman" w:cs="Times New Roman" w:eastAsia="Times New Roman" w:hAnsi="Times New Roman"/>
          <w:sz w:val="19"/>
          <w:szCs w:val="19"/>
          <w:color w:val="auto"/>
        </w:rPr>
      </w:pPr>
    </w:p>
    <w:p>
      <w:pPr>
        <w:jc w:val="both"/>
        <w:ind w:firstLine="1245"/>
        <w:spacing w:after="0" w:line="251" w:lineRule="auto"/>
        <w:tabs>
          <w:tab w:leader="none" w:pos="1858"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Work Made for Hire</w:t>
      </w:r>
      <w:r>
        <w:rPr>
          <w:rFonts w:ascii="Times New Roman" w:cs="Times New Roman" w:eastAsia="Times New Roman" w:hAnsi="Times New Roman"/>
          <w:sz w:val="21"/>
          <w:szCs w:val="21"/>
          <w:color w:val="auto"/>
        </w:rPr>
        <w:t>. Any work performed by Executive during Executive’s employment with the Company or its affiliates shall be considered a “Work Made for Hire” as defined in the U.S. Copyright laws, and shall be owned by and for the express benefit of the Company. In the event it should be established that such work does not qualify as a Work Made for Hire, Executive agrees to and does hereby assign to the Company all of Executive’s right, title, and interest in such work product including, but not limited to, all copyrights and other proprietary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67" w:right="339" w:bottom="1440" w:gutter="0" w:footer="0" w:header="0"/>
        </w:sectPr>
      </w:pPr>
    </w:p>
    <w:bookmarkStart w:id="22" w:name="page23"/>
    <w:bookmarkEnd w:id="22"/>
    <w:p>
      <w:pPr>
        <w:ind w:left="1240" w:hanging="616"/>
        <w:spacing w:after="0"/>
        <w:tabs>
          <w:tab w:leader="none" w:pos="12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 and Non-Interference</w:t>
      </w:r>
      <w:r>
        <w:rPr>
          <w:rFonts w:ascii="Times New Roman" w:cs="Times New Roman" w:eastAsia="Times New Roman" w:hAnsi="Times New Roman"/>
          <w:sz w:val="21"/>
          <w:szCs w:val="21"/>
          <w:color w:val="auto"/>
        </w:rPr>
        <w:t>.</w:t>
      </w:r>
    </w:p>
    <w:p>
      <w:pPr>
        <w:spacing w:after="0" w:line="237" w:lineRule="exact"/>
        <w:rPr>
          <w:rFonts w:ascii="Times New Roman" w:cs="Times New Roman" w:eastAsia="Times New Roman" w:hAnsi="Times New Roman"/>
          <w:sz w:val="21"/>
          <w:szCs w:val="21"/>
          <w:color w:val="auto"/>
        </w:rPr>
      </w:pPr>
    </w:p>
    <w:p>
      <w:pPr>
        <w:jc w:val="both"/>
        <w:ind w:firstLine="1245"/>
        <w:spacing w:after="0" w:line="253" w:lineRule="auto"/>
        <w:tabs>
          <w:tab w:leader="none" w:pos="1853"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Acknowledgments by Executive</w:t>
      </w:r>
      <w:r>
        <w:rPr>
          <w:rFonts w:ascii="Times New Roman" w:cs="Times New Roman" w:eastAsia="Times New Roman" w:hAnsi="Times New Roman"/>
          <w:sz w:val="21"/>
          <w:szCs w:val="21"/>
          <w:color w:val="auto"/>
        </w:rPr>
        <w:t>. Executive acknowledges and agrees that: (i) the services to be performed by Executive under this Agreement are of a special, unique, unusual, extraordinary, and intellectual character; (ii) the Company and its affiliates compete with other businesses that are or could be located in any part of the world; (iii) the provisions of this Section 16 are reasonable and necessary to protect the Company’s business and lawful protectable interests, and do not impair Executive’s ability to earn a living; and (iv) the Company has agreed to provide the severance and other benefits set forth in Sections 12(b)(A)-(D) in consideration for Executive’s abiding by the obligations under this Section 16 and but for Executive’s agreement to comply with such obligations, the Company would not have agreed to provide such severance and other benefits.</w:t>
      </w:r>
    </w:p>
    <w:p>
      <w:pPr>
        <w:spacing w:after="0" w:line="197" w:lineRule="exact"/>
        <w:rPr>
          <w:rFonts w:ascii="Times New Roman" w:cs="Times New Roman" w:eastAsia="Times New Roman" w:hAnsi="Times New Roman"/>
          <w:sz w:val="19"/>
          <w:szCs w:val="19"/>
          <w:color w:val="auto"/>
        </w:rPr>
      </w:pPr>
    </w:p>
    <w:p>
      <w:pPr>
        <w:jc w:val="both"/>
        <w:ind w:firstLine="1245"/>
        <w:spacing w:after="0" w:line="251" w:lineRule="auto"/>
        <w:tabs>
          <w:tab w:leader="none" w:pos="185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Covenants of Executive</w:t>
      </w:r>
      <w:r>
        <w:rPr>
          <w:rFonts w:ascii="Times New Roman" w:cs="Times New Roman" w:eastAsia="Times New Roman" w:hAnsi="Times New Roman"/>
          <w:sz w:val="21"/>
          <w:szCs w:val="21"/>
          <w:color w:val="auto"/>
        </w:rPr>
        <w:t>. For purposes of this Section 16, the term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xml:space="preserve">” shall mean the period commencing on the Effective Date and terminating on the second annual anniversary (or, in the case of Section 16(b)(iii), the first anniversary) of the Date of 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“Restricted Period” shall be tolled and extended for any period of time during which Executive is found to be in violation of the covenants set forth in this Section 16(b). In consideration of the acknowledgments by Executive, and in consideration of the compensation and benefits to be paid or provided to Executive by the Company, Executive covenants and agrees that during the Restricted Period, Executive will not, directly or indirectly, for Executive’s own benefit or for the benefit of any other person or entity other than the Company or its affiliates:</w:t>
      </w:r>
    </w:p>
    <w:p>
      <w:pPr>
        <w:spacing w:after="0" w:line="198" w:lineRule="exact"/>
        <w:rPr>
          <w:rFonts w:ascii="Times New Roman" w:cs="Times New Roman" w:eastAsia="Times New Roman" w:hAnsi="Times New Roman"/>
          <w:sz w:val="21"/>
          <w:szCs w:val="21"/>
          <w:color w:val="auto"/>
        </w:rPr>
      </w:pPr>
    </w:p>
    <w:p>
      <w:pPr>
        <w:jc w:val="both"/>
        <w:ind w:firstLine="1866"/>
        <w:spacing w:after="0" w:line="262" w:lineRule="auto"/>
        <w:tabs>
          <w:tab w:leader="none" w:pos="2481"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United States or any other country or territory where the Company or any of its affiliates then conducts its business: engage in, operate, finance, control or be employed by a Competitive Business; serve as an officer or director of a Competitive Business (regardless of where Executive then lives or conducts such activities); perform any work as an employee, consultant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Executive’s employment with the Company or its affiliates), contractor, or in any other capacity with, a Competitive Business; directly or indirectly invest or own any interest in a Competitive Business (regardless of where Executive then lives or conducts such activities); or directly or indirectly provide any services or advice to any business, person or entity who or which is engaged in a Competitive Business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Executive’s employment with the Company or its affiliates). A “</w:t>
      </w:r>
      <w:r>
        <w:rPr>
          <w:rFonts w:ascii="Times New Roman" w:cs="Times New Roman" w:eastAsia="Times New Roman" w:hAnsi="Times New Roman"/>
          <w:sz w:val="20"/>
          <w:szCs w:val="20"/>
          <w:u w:val="single" w:color="auto"/>
          <w:color w:val="auto"/>
        </w:rPr>
        <w:t>Competitive Business</w:t>
      </w:r>
      <w:r>
        <w:rPr>
          <w:rFonts w:ascii="Times New Roman" w:cs="Times New Roman" w:eastAsia="Times New Roman" w:hAnsi="Times New Roman"/>
          <w:sz w:val="20"/>
          <w:szCs w:val="20"/>
          <w:color w:val="auto"/>
        </w:rPr>
        <w:t>” is any business, person or entity who or which, anywhere within that part of the United States, or that part of any other country or territory, where the Company and its affiliates conduct business, directly or indirectly through any entity controlling, controlled by or under common control with such business, offers, provides, markets or sells any service or product of a type that is offered or marketed by or competitive with a service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67" w:right="339" w:bottom="1440" w:gutter="0" w:footer="0" w:header="0"/>
        </w:sectPr>
      </w:pPr>
    </w:p>
    <w:bookmarkStart w:id="23" w:name="page24"/>
    <w:bookmarkEnd w:id="23"/>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product offered or marketed by the Company or any of its affiliates at the time Executive’s employment terminates or is being planned to be offered or marketed by the Company or any of its affiliates with Executive’s participation, or who or which in any case is preparing or planning to do so. To appropriately take account of the highly competitive nature of the Company’s business, the Parties agree that any business engaged in any of the activities set forth on Schedule 1 shall be deemed to be a Competitive Business. The provisions of this Section 16 shall not be construed or applied so as to prohibit Executive from (A) owning (x) not more than five percent (5%) of any class of securities that is publicly traded on any national or regional securities exchange or (y) an interest in a private equity, venture capital or other private 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Executive’s interest does not constitute more than five (5%) of any class of securities of a Competitive Business, and in each case, as long as Executive’s investment is passive and Executive does not lend or provide any services or advice to such business or fund (or any business that such fund invests in or is related to) or otherwise violate the terms of this Agreement in connection with such investment, or (B) owning an interest in or providing services to a conglomerate with a business line that constitutes a Competitive Business, as long as Executive does not provide any services to such business line (which shall be certified to the Company annually by Executive and an officer of such conglomerate) or otherwise violate the terms of this Agreement in connection with such investment or service;</w:t>
      </w:r>
    </w:p>
    <w:p>
      <w:pPr>
        <w:spacing w:after="0" w:line="210" w:lineRule="exact"/>
        <w:rPr>
          <w:sz w:val="20"/>
          <w:szCs w:val="20"/>
          <w:color w:val="auto"/>
        </w:rPr>
      </w:pPr>
    </w:p>
    <w:p>
      <w:pPr>
        <w:jc w:val="both"/>
        <w:ind w:firstLine="1866"/>
        <w:spacing w:after="0" w:line="266" w:lineRule="auto"/>
        <w:tabs>
          <w:tab w:leader="none" w:pos="247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 solicit or provide any service in connection with any Competitive Business to any person or entity that was a customer franchisee, or prospective customer of the Company or any of its affiliates at any time during Executive’s employment (a prospective customer being one to whom the Company or any of its affiliates had made a business proposal within twelve (12) months prior to the time Executive’s employment terminated); or directly solicit or encourage any customer, franchisee or subscriber of the Company or any of its affiliates to purchase any service or product of a type offered by or competitive with any product or service provided by the Company or any of its affiliates, or to reduce the amount or level of business purchased by such customer, franchisee or subscriber from the Company or any of its affiliates; or take away or procure for the benefit of any Competitive Business, any business of a type provided by or competitive with a product or service offered by the Company or any of its affiliates; or</w:t>
      </w:r>
    </w:p>
    <w:p>
      <w:pPr>
        <w:spacing w:after="0" w:line="185" w:lineRule="exact"/>
        <w:rPr>
          <w:rFonts w:ascii="Times New Roman" w:cs="Times New Roman" w:eastAsia="Times New Roman" w:hAnsi="Times New Roman"/>
          <w:sz w:val="20"/>
          <w:szCs w:val="20"/>
          <w:color w:val="auto"/>
        </w:rPr>
      </w:pPr>
    </w:p>
    <w:p>
      <w:pPr>
        <w:jc w:val="both"/>
        <w:ind w:firstLine="1866"/>
        <w:spacing w:after="0" w:line="249" w:lineRule="auto"/>
        <w:tabs>
          <w:tab w:leader="none" w:pos="248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recruit or hire for employment or provision of consulting services any person or persons who are employed by the Company or any of its affiliates, or who were so employed at any time within a period of six (6) months immediately prior to the Date of Termination, or otherwise interfere with the relationship between any such person and the Company or any of its affiliates; nor will Executive assist anyone else in recruiting any such employee to work for another company or business or discuss with any such person leaving the employ of the Company or any of its affiliates or engaging in a business activity in competition with the Company or any of its affiliates. This provision shall not apply to secretarial, clerical, custodial or maintenance employees, nor shall it prohibit Executive from providing a personal reference for the person or persons described in this subsection in response to a request for such a personal reference or from placing a general advertisement for employees that is not specifically focused upon employees of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67" w:right="339" w:bottom="1440" w:gutter="0" w:footer="0" w:header="0"/>
        </w:sectPr>
      </w:pPr>
    </w:p>
    <w:bookmarkStart w:id="24" w:name="page25"/>
    <w:bookmarkEnd w:id="24"/>
    <w:p>
      <w:pPr>
        <w:spacing w:after="0" w:line="273" w:lineRule="auto"/>
        <w:rPr>
          <w:sz w:val="20"/>
          <w:szCs w:val="20"/>
          <w:color w:val="auto"/>
        </w:rPr>
      </w:pPr>
      <w:r>
        <w:rPr>
          <w:rFonts w:ascii="Times New Roman" w:cs="Times New Roman" w:eastAsia="Times New Roman" w:hAnsi="Times New Roman"/>
          <w:sz w:val="21"/>
          <w:szCs w:val="21"/>
          <w:color w:val="auto"/>
        </w:rPr>
        <w:t>If Executive violates any covenant contained in this Section 16, then the term of the covenants in this Section 16 shall be extended by the period of time Executive was in violation of the same.</w:t>
      </w:r>
    </w:p>
    <w:p>
      <w:pPr>
        <w:spacing w:after="0" w:line="175" w:lineRule="exact"/>
        <w:rPr>
          <w:sz w:val="20"/>
          <w:szCs w:val="20"/>
          <w:color w:val="auto"/>
        </w:rPr>
      </w:pPr>
    </w:p>
    <w:p>
      <w:pPr>
        <w:jc w:val="both"/>
        <w:ind w:firstLine="1245"/>
        <w:spacing w:after="0" w:line="249" w:lineRule="auto"/>
        <w:tabs>
          <w:tab w:leader="none" w:pos="186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Provisions Pertaining to the Covenants</w:t>
      </w:r>
      <w:r>
        <w:rPr>
          <w:rFonts w:ascii="Times New Roman" w:cs="Times New Roman" w:eastAsia="Times New Roman" w:hAnsi="Times New Roman"/>
          <w:sz w:val="21"/>
          <w:szCs w:val="21"/>
          <w:color w:val="auto"/>
        </w:rPr>
        <w:t>. Executive recognizes that the existing business of the Company and its affiliates extends to various locations and areas throughout the United States and will extend hereafter to other countries and territories and agrees that the scope of this Section 16 shall extend to any part of the United States, and any other country or territory, where the Company or any of its affiliates operates or conducts business, or has concrete plans to do so at the time Executive’s employment terminates. It is agreed that Executive’s services hereunder are special, unique, unusual and extraordinary giving them peculiar value, the loss of which cannot be reasonably or adequately compensated for by damages, and in the event of Executive’s breach of this Section 16, the Company shall be entitled to equitable relief by way of injunction or otherwise in addition to the cessation of payments and benefits hereunder. If any provision of Section 14, 15 or 16 is deemed to be unenforceable by a court (whether because of the subject matter of the provision, the duration of a restriction, the geographic or other scope of a restriction or otherwise), that provision shall not be rendered void but the Parties instead agree that the court shall amend and alter such provision to such lesser degree, time, scope, extent and/or territory as will grant the Company the maximum restriction on Executive’s activities permitted by applicable law in such circumstances. The Company’s failure to exercise its rights to enforce the provisions of this Agreement shall not be affected by the existence or non-existence of any other similar agreement for anyone else employed by the Company or any of its affiliates or by the Company’s failure to exercise any of its rights under any such agreement.</w:t>
      </w:r>
    </w:p>
    <w:p>
      <w:pPr>
        <w:spacing w:after="0" w:line="204" w:lineRule="exact"/>
        <w:rPr>
          <w:rFonts w:ascii="Times New Roman" w:cs="Times New Roman" w:eastAsia="Times New Roman" w:hAnsi="Times New Roman"/>
          <w:sz w:val="21"/>
          <w:szCs w:val="21"/>
          <w:color w:val="auto"/>
        </w:rPr>
      </w:pPr>
    </w:p>
    <w:p>
      <w:pPr>
        <w:jc w:val="both"/>
        <w:ind w:firstLine="1245"/>
        <w:spacing w:after="0" w:line="252" w:lineRule="auto"/>
        <w:tabs>
          <w:tab w:leader="none" w:pos="185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Whistleblower Protection</w:t>
      </w:r>
      <w:r>
        <w:rPr>
          <w:rFonts w:ascii="Times New Roman" w:cs="Times New Roman" w:eastAsia="Times New Roman" w:hAnsi="Times New Roman"/>
          <w:sz w:val="21"/>
          <w:szCs w:val="21"/>
          <w:color w:val="auto"/>
        </w:rPr>
        <w:t>. Notwithstanding anything to the contrary contained herein, no provision of this Agreement shall be interpreted so as to impede Executive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Executive does not need the prior authorization of the Company to make any such reports or disclosures and Executive shall not be required to notify the Company that such reports or disclosures have been made.</w:t>
      </w:r>
    </w:p>
    <w:p>
      <w:pPr>
        <w:spacing w:after="0" w:line="199" w:lineRule="exact"/>
        <w:rPr>
          <w:rFonts w:ascii="Times New Roman" w:cs="Times New Roman" w:eastAsia="Times New Roman" w:hAnsi="Times New Roman"/>
          <w:sz w:val="21"/>
          <w:szCs w:val="21"/>
          <w:color w:val="auto"/>
        </w:rPr>
      </w:pPr>
    </w:p>
    <w:p>
      <w:pPr>
        <w:jc w:val="both"/>
        <w:ind w:firstLine="1245"/>
        <w:spacing w:after="0" w:line="250" w:lineRule="auto"/>
        <w:tabs>
          <w:tab w:leader="none" w:pos="186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Trade Secrets</w:t>
      </w:r>
      <w:r>
        <w:rPr>
          <w:rFonts w:ascii="Times New Roman" w:cs="Times New Roman" w:eastAsia="Times New Roman" w:hAnsi="Times New Roman"/>
          <w:sz w:val="21"/>
          <w:szCs w:val="21"/>
          <w:color w:val="auto"/>
        </w:rPr>
        <w:t>. 18 U.S.C. § 1833(b) provides: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have the right to disclose in confidence trade secrets to federal, state, and local government officials, or to an attorney, for the sole purpose of reporting or investigating a suspected violation of law.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67" w:right="339" w:bottom="1440" w:gutter="0" w:footer="0" w:header="0"/>
        </w:sectPr>
      </w:pPr>
    </w:p>
    <w:bookmarkStart w:id="25" w:name="page26"/>
    <w:bookmarkEnd w:id="25"/>
    <w:p>
      <w:pPr>
        <w:spacing w:after="0" w:line="273" w:lineRule="auto"/>
        <w:rPr>
          <w:sz w:val="20"/>
          <w:szCs w:val="20"/>
          <w:color w:val="auto"/>
        </w:rPr>
      </w:pPr>
      <w:r>
        <w:rPr>
          <w:rFonts w:ascii="Times New Roman" w:cs="Times New Roman" w:eastAsia="Times New Roman" w:hAnsi="Times New Roman"/>
          <w:sz w:val="21"/>
          <w:szCs w:val="21"/>
          <w:color w:val="auto"/>
        </w:rPr>
        <w:t>Parties also have the right to disclose trade secrets in a document filed in a lawsuit or other proceeding, but only if the filing is made under seal and protected from public disclosure.</w:t>
      </w:r>
    </w:p>
    <w:p>
      <w:pPr>
        <w:spacing w:after="0" w:line="175" w:lineRule="exact"/>
        <w:rPr>
          <w:sz w:val="20"/>
          <w:szCs w:val="20"/>
          <w:color w:val="auto"/>
        </w:rPr>
      </w:pPr>
    </w:p>
    <w:p>
      <w:pPr>
        <w:jc w:val="both"/>
        <w:ind w:firstLine="1245"/>
        <w:spacing w:after="0" w:line="258" w:lineRule="auto"/>
        <w:tabs>
          <w:tab w:leader="none" w:pos="1863"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In order to preserve the Company’s rights under this Agreement, the Company is authorized to advise any potential or future employer, any third party with whom Executive may become employed or enter into any business or contractual relationship with, and any third party whom Executive may contact for any such purpose, of the existence of this Agreement and its terms, and the Company and its affiliates shall not be liable for doing so.</w:t>
      </w:r>
    </w:p>
    <w:p>
      <w:pPr>
        <w:spacing w:after="0" w:line="190" w:lineRule="exact"/>
        <w:rPr>
          <w:rFonts w:ascii="Times New Roman" w:cs="Times New Roman" w:eastAsia="Times New Roman" w:hAnsi="Times New Roman"/>
          <w:sz w:val="21"/>
          <w:szCs w:val="21"/>
          <w:color w:val="auto"/>
        </w:rPr>
      </w:pPr>
    </w:p>
    <w:p>
      <w:pPr>
        <w:jc w:val="both"/>
        <w:ind w:firstLine="1245"/>
        <w:spacing w:after="0" w:line="249" w:lineRule="auto"/>
        <w:tabs>
          <w:tab w:leader="none" w:pos="185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Injunctive Relief and Additional Remedy</w:t>
      </w:r>
      <w:r>
        <w:rPr>
          <w:rFonts w:ascii="Times New Roman" w:cs="Times New Roman" w:eastAsia="Times New Roman" w:hAnsi="Times New Roman"/>
          <w:sz w:val="21"/>
          <w:szCs w:val="21"/>
          <w:color w:val="auto"/>
        </w:rPr>
        <w:t>. Executive acknowledges that the injury that would be suffered by the Company as a result of a breach of the provisions of this Agreement (including any provision of Sections 14, 15 and 16) would be irreparable and that an award of monetary damages to the Company for such a breach would be an inadequate remedy. Consequently, the Company will have the right, in addition to any other rights it may have, to obtain injunctive relief to restrain any breach or threatened breach or otherwise to specifically enforce any provision of this Agreement, and the Company will not be obligated to post bond or other security in seeking such relief. Without limiting the Company’s rights under this Section 16 or any other remedies of the Company, in the event of a determination by a court of competent jurisdiction, as to which no further appeal can be taken or as to which the time to appeal has expired, that Executive has willfully breached a material obligation under Section 14, 15 or 16, (i) the Company will have the right to cease making any payments otherwise due to Executive under this Agreement, and (ii) Executive will repay to the Company all amounts paid to Executive under this Agreement on and following the date that such breach first occurred (as determined by the court), including but not limited to the return of any stock and options (and stock purchased through the exercise of options) that first became vested following such date, and the proceeds of the sale of any such stock.</w:t>
      </w:r>
    </w:p>
    <w:p>
      <w:pPr>
        <w:spacing w:after="0" w:line="201" w:lineRule="exact"/>
        <w:rPr>
          <w:rFonts w:ascii="Times New Roman" w:cs="Times New Roman" w:eastAsia="Times New Roman" w:hAnsi="Times New Roman"/>
          <w:sz w:val="21"/>
          <w:szCs w:val="21"/>
          <w:color w:val="auto"/>
        </w:rPr>
      </w:pPr>
    </w:p>
    <w:p>
      <w:pPr>
        <w:jc w:val="both"/>
        <w:ind w:firstLine="1245"/>
        <w:spacing w:after="0" w:line="262" w:lineRule="auto"/>
        <w:tabs>
          <w:tab w:leader="none" w:pos="185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of Sections 14, 15 and 16 are Essential and Independent Covenants</w:t>
      </w:r>
      <w:r>
        <w:rPr>
          <w:rFonts w:ascii="Times New Roman" w:cs="Times New Roman" w:eastAsia="Times New Roman" w:hAnsi="Times New Roman"/>
          <w:sz w:val="20"/>
          <w:szCs w:val="20"/>
          <w:color w:val="auto"/>
        </w:rPr>
        <w:t>. The covenants by Executive in Sections 14, 15 and 16 are essential elements of this Agreement, and without Executive’s agreement to comply with such covenants, the Company would not have entered into this Agreement or employed Executive. The Company and Executive have independently consulted their respective counsel and have been advised in all respects concerning the reasonableness and propriety of such covenants, with specific regard to the nature of the business conducted by the Company and its affiliates. Executive’s covenants in Sections 14, 15 and 16 are independent covenants and the existence of any claim by Executive against the Company or any of its affiliates, under this Agreement or otherwise, will not excuse Executive’s breach of any covenant in Sections 14, 15 and 16. If Executive’s employment hereunder is terminated, this Agreement will continue in full force and effect as is necessary or appropriate to enforce the covenants and agreements of Executive in Sections 14, 15 and 16. The Company’s right to enforce the covenants in Sections 14, 15 and 16 shall not be adversely affected or limited by the Company’s failure to have an agreement with another employee with provisions at least as restrictive as those contained in Sections 14, 15 and 16, or by the Company’s failure or inability to enforce (or agreement not to enforce) in full the provisions of any other or similar agreement containing one or more restrictions of the type specified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6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1"/>
          <w:szCs w:val="21"/>
          <w:color w:val="auto"/>
        </w:rPr>
        <w:t>Sections 14, 15 and 16. For the avoidance of doubt, the terms of Sections 14, 15 and 16 shall survive the expiration of the Term.</w:t>
      </w:r>
    </w:p>
    <w:p>
      <w:pPr>
        <w:spacing w:after="0" w:line="237" w:lineRule="exact"/>
        <w:rPr>
          <w:sz w:val="20"/>
          <w:szCs w:val="20"/>
          <w:color w:val="auto"/>
        </w:rPr>
      </w:pPr>
    </w:p>
    <w:p>
      <w:pPr>
        <w:ind w:left="1240" w:hanging="616"/>
        <w:spacing w:after="0"/>
        <w:tabs>
          <w:tab w:leader="none" w:pos="12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Further Agreements</w:t>
      </w:r>
      <w:r>
        <w:rPr>
          <w:rFonts w:ascii="Times New Roman" w:cs="Times New Roman" w:eastAsia="Times New Roman" w:hAnsi="Times New Roman"/>
          <w:sz w:val="21"/>
          <w:szCs w:val="21"/>
          <w:color w:val="auto"/>
        </w:rPr>
        <w:t>.</w:t>
      </w:r>
    </w:p>
    <w:p>
      <w:pPr>
        <w:spacing w:after="0" w:line="237" w:lineRule="exact"/>
        <w:rPr>
          <w:rFonts w:ascii="Times New Roman" w:cs="Times New Roman" w:eastAsia="Times New Roman" w:hAnsi="Times New Roman"/>
          <w:sz w:val="21"/>
          <w:szCs w:val="21"/>
          <w:color w:val="auto"/>
        </w:rPr>
      </w:pPr>
    </w:p>
    <w:p>
      <w:pPr>
        <w:ind w:left="1860" w:hanging="615"/>
        <w:spacing w:after="0"/>
        <w:tabs>
          <w:tab w:leader="none" w:pos="186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Executive represents, warrants and covenants to the Company that:</w:t>
      </w:r>
    </w:p>
    <w:p>
      <w:pPr>
        <w:spacing w:after="0" w:line="250" w:lineRule="exact"/>
        <w:rPr>
          <w:rFonts w:ascii="Times New Roman" w:cs="Times New Roman" w:eastAsia="Times New Roman" w:hAnsi="Times New Roman"/>
          <w:sz w:val="19"/>
          <w:szCs w:val="19"/>
          <w:color w:val="auto"/>
        </w:rPr>
      </w:pPr>
    </w:p>
    <w:p>
      <w:pPr>
        <w:jc w:val="both"/>
        <w:ind w:firstLine="1866"/>
        <w:spacing w:after="0" w:line="265" w:lineRule="auto"/>
        <w:tabs>
          <w:tab w:leader="none" w:pos="2481" w:val="left"/>
        </w:tabs>
        <w:numPr>
          <w:ilvl w:val="2"/>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Executive is knowledgeable and sophisticated as to business matters, including the subject matter of this Agreement, and that prior to assenting to the terms of this Agreement, or giving the representations and warranties herein, Executive has been given a reasonable time to review it and has consulted with counsel of Executive’s choice;</w:t>
      </w:r>
    </w:p>
    <w:p>
      <w:pPr>
        <w:spacing w:after="0" w:line="183" w:lineRule="exact"/>
        <w:rPr>
          <w:rFonts w:ascii="Times New Roman" w:cs="Times New Roman" w:eastAsia="Times New Roman" w:hAnsi="Times New Roman"/>
          <w:sz w:val="19"/>
          <w:szCs w:val="19"/>
          <w:color w:val="auto"/>
        </w:rPr>
      </w:pPr>
    </w:p>
    <w:p>
      <w:pPr>
        <w:jc w:val="both"/>
        <w:ind w:firstLine="1866"/>
        <w:spacing w:after="0" w:line="258" w:lineRule="auto"/>
        <w:tabs>
          <w:tab w:leader="none" w:pos="2478"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commencement of employment with the Company and its affiliates on the Effective Date will not violate any agreement with a third party, including any current or former employers of Executive, and that Executive is not subject to any restriction, contractual or otherwise, that would prevent or interfere with Executive’s service in the positions or performing the duties set forth above, or limit Executive’s ability to do so at any time during the Term; and</w:t>
      </w:r>
    </w:p>
    <w:p>
      <w:pPr>
        <w:spacing w:after="0" w:line="190" w:lineRule="exact"/>
        <w:rPr>
          <w:rFonts w:ascii="Times New Roman" w:cs="Times New Roman" w:eastAsia="Times New Roman" w:hAnsi="Times New Roman"/>
          <w:sz w:val="21"/>
          <w:szCs w:val="21"/>
          <w:color w:val="auto"/>
        </w:rPr>
      </w:pPr>
    </w:p>
    <w:p>
      <w:pPr>
        <w:jc w:val="both"/>
        <w:ind w:firstLine="1866"/>
        <w:spacing w:after="0" w:line="261" w:lineRule="auto"/>
        <w:tabs>
          <w:tab w:leader="none" w:pos="2484"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Executive’s employment with the Company or any of its affiliates and subsequent to the cessation thereof, Executive will reasonably cooperate with the Company, and furnish any and all complete and truthful information, testimony or affidavits in connection with any matter that arose during Executive’s employment, that in any way relates to the business or operations of the Company or any of its affiliates, or of which Executive may have any knowledge or involvement; and will consult with and provide information to the Company and its representatives concerning such matters. Executive shall reasonably cooperate with the Company in the protection and enforcement of any intellectual property rights that relate to services performed by Executive for the Company or its affiliates, whether under the terms of this Agreement or prior to the execution of this Agreement. This shall include without limitation executing, acknowledging, and delivering to the Company all documents or papers that may be necessary to enable the Company to publish or protect such intellectual property rights. Subsequent to the cessation of Executive’s employment with the Company, the Parties will make their best efforts to have such cooperation performed at reasonable times and places and in a manner as not to unreasonably interfere with any other employment in which Executive may then be engaged. Nothing in this Agreement shall be construed or interpreted as requiring Executive to provide any testimony, sworn statement or declaration that is not complete and truthful. If the Company requires Executive to travel outside the metropolitan area in the United States where Executive then resides to provide any testimony or otherwise provide any such assistance, then the Company will reimburse Executive for any reasonable, ordinary and necessary travel and lodging expenses incurred by Executive to do so;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Executive submits all documentation required under the Company’s standard travel expense reimbursement policies and as otherwise may be required to satisfy any requirements under applicable tax laws for the Company to deduct those expenses. Nothing in this Agreement shall be construed or interpreted as requiring Executive to provide any testimony or affidavit that is not complete and truthful.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67" w:right="339" w:bottom="1440" w:gutter="0" w:footer="0" w:header="0"/>
        </w:sectPr>
      </w:pPr>
    </w:p>
    <w:bookmarkStart w:id="27" w:name="page28"/>
    <w:bookmarkEnd w:id="27"/>
    <w:p>
      <w:pPr>
        <w:spacing w:after="0" w:line="160" w:lineRule="exact"/>
        <w:rPr>
          <w:sz w:val="20"/>
          <w:szCs w:val="20"/>
          <w:color w:val="auto"/>
        </w:rPr>
      </w:pPr>
    </w:p>
    <w:p>
      <w:pPr>
        <w:jc w:val="both"/>
        <w:ind w:firstLine="1245"/>
        <w:spacing w:after="0" w:line="251" w:lineRule="auto"/>
        <w:tabs>
          <w:tab w:leader="none" w:pos="1858"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represents and warrants that (i) it is fully authorized by action of the Board (and of any other Person or body whose action is required) to enter into this Agreement and to perform its obligations under it, (ii) the execution, delivery and performance of this Agreement by it does not violate any applicable law, regulation, order, judgment or decree or any agreement, arrangement, plan or corporate governance document to which it is a party or by which it is bound, and (iii) upon the execution and delivery of this Agreement by the Parties, this Agreement shall be a valid and binding obligation of the Company, enforceable against it in accordance with its terms, except to the extent that enforceability may be limited by applicable bankruptcy, insolvency or similar laws affecting the enforcement of creditors’ rights generally.</w:t>
      </w:r>
    </w:p>
    <w:p>
      <w:pPr>
        <w:spacing w:after="0" w:line="198" w:lineRule="exact"/>
        <w:rPr>
          <w:rFonts w:ascii="Times New Roman" w:cs="Times New Roman" w:eastAsia="Times New Roman" w:hAnsi="Times New Roman"/>
          <w:sz w:val="21"/>
          <w:szCs w:val="21"/>
          <w:color w:val="auto"/>
        </w:rPr>
      </w:pPr>
    </w:p>
    <w:p>
      <w:pPr>
        <w:jc w:val="both"/>
        <w:ind w:firstLine="624"/>
        <w:spacing w:after="0" w:line="254" w:lineRule="auto"/>
        <w:tabs>
          <w:tab w:leader="none" w:pos="124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Mutual Non-Disparagement</w:t>
      </w:r>
      <w:r>
        <w:rPr>
          <w:rFonts w:ascii="Times New Roman" w:cs="Times New Roman" w:eastAsia="Times New Roman" w:hAnsi="Times New Roman"/>
          <w:sz w:val="21"/>
          <w:szCs w:val="21"/>
          <w:color w:val="auto"/>
        </w:rPr>
        <w:t>. Neither the Company nor Executive shall make any oral or written statement about the other Party, or any affiliate, director or officer of such Party, which is intended or reasonably likely to disparage or otherwise degrade the reputation of the other Party, or any affiliate, director or officer of such Party, in the business or legal community, or in the telecommunications industry. This provision shall not be applicable to truthful testimony or communication in connection with any legal proceedings or governmental or regulatory investigation.</w:t>
      </w:r>
    </w:p>
    <w:p>
      <w:pPr>
        <w:spacing w:after="0" w:line="196" w:lineRule="exact"/>
        <w:rPr>
          <w:rFonts w:ascii="Times New Roman" w:cs="Times New Roman" w:eastAsia="Times New Roman" w:hAnsi="Times New Roman"/>
          <w:sz w:val="21"/>
          <w:szCs w:val="21"/>
          <w:color w:val="auto"/>
        </w:rPr>
      </w:pPr>
    </w:p>
    <w:p>
      <w:pPr>
        <w:jc w:val="both"/>
        <w:ind w:firstLine="624"/>
        <w:spacing w:after="0" w:line="251" w:lineRule="auto"/>
        <w:tabs>
          <w:tab w:leader="none" w:pos="124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Corrupt Practices Act</w:t>
      </w:r>
      <w:r>
        <w:rPr>
          <w:rFonts w:ascii="Times New Roman" w:cs="Times New Roman" w:eastAsia="Times New Roman" w:hAnsi="Times New Roman"/>
          <w:sz w:val="21"/>
          <w:szCs w:val="21"/>
          <w:color w:val="auto"/>
        </w:rPr>
        <w:t>. Executive agrees to comply in all material respects with the applicable provisions of the U.S. Foreign Corrupt Practices Act of 1977, as amended (the “</w:t>
      </w:r>
      <w:r>
        <w:rPr>
          <w:rFonts w:ascii="Times New Roman" w:cs="Times New Roman" w:eastAsia="Times New Roman" w:hAnsi="Times New Roman"/>
          <w:sz w:val="21"/>
          <w:szCs w:val="21"/>
          <w:u w:val="single" w:color="auto"/>
          <w:color w:val="auto"/>
        </w:rPr>
        <w:t>FCPA</w:t>
      </w:r>
      <w:r>
        <w:rPr>
          <w:rFonts w:ascii="Times New Roman" w:cs="Times New Roman" w:eastAsia="Times New Roman" w:hAnsi="Times New Roman"/>
          <w:sz w:val="21"/>
          <w:szCs w:val="21"/>
          <w:color w:val="auto"/>
        </w:rPr>
        <w:t>”), which provides generally that: under no circumstances will foreign officials, representatives, political parties or holders of public offices be offered, promised or paid any money, remuneration, things of value, or provided any other benefit, direct or indirect, in connection with obtaining or maintaining contracts or orders hereunder. When any representative, employee, agent, or other individual or organization associated with Executive is required to perform any obligation related to or in connection with this Agreement, the substance of this section shall be imposed upon such person and included in any agreement between Executive and any such person. A material violation by Executive of the provisions of the FCPA shall constitute a material breach of this Agreement and shall entitle the Company to terminate Executive’s employment for Cause in accordance with Section 11(a)(iii).</w:t>
      </w:r>
    </w:p>
    <w:p>
      <w:pPr>
        <w:spacing w:after="0" w:line="197" w:lineRule="exact"/>
        <w:rPr>
          <w:rFonts w:ascii="Times New Roman" w:cs="Times New Roman" w:eastAsia="Times New Roman" w:hAnsi="Times New Roman"/>
          <w:sz w:val="21"/>
          <w:szCs w:val="21"/>
          <w:color w:val="auto"/>
        </w:rPr>
      </w:pPr>
    </w:p>
    <w:p>
      <w:pPr>
        <w:jc w:val="both"/>
        <w:ind w:firstLine="624"/>
        <w:spacing w:after="0" w:line="254" w:lineRule="auto"/>
        <w:tabs>
          <w:tab w:leader="none" w:pos="124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Purchases and Sales of the Company’s Securities</w:t>
      </w:r>
      <w:r>
        <w:rPr>
          <w:rFonts w:ascii="Times New Roman" w:cs="Times New Roman" w:eastAsia="Times New Roman" w:hAnsi="Times New Roman"/>
          <w:sz w:val="21"/>
          <w:szCs w:val="21"/>
          <w:color w:val="auto"/>
        </w:rPr>
        <w:t>. Executive has read and agrees to comply in all respects with the Company’s Securities Trading Policy (the “</w:t>
      </w:r>
      <w:r>
        <w:rPr>
          <w:rFonts w:ascii="Times New Roman" w:cs="Times New Roman" w:eastAsia="Times New Roman" w:hAnsi="Times New Roman"/>
          <w:sz w:val="21"/>
          <w:szCs w:val="21"/>
          <w:u w:val="single" w:color="auto"/>
          <w:color w:val="auto"/>
        </w:rPr>
        <w:t>Trading Policy</w:t>
      </w:r>
      <w:r>
        <w:rPr>
          <w:rFonts w:ascii="Times New Roman" w:cs="Times New Roman" w:eastAsia="Times New Roman" w:hAnsi="Times New Roman"/>
          <w:sz w:val="21"/>
          <w:szCs w:val="21"/>
          <w:color w:val="auto"/>
        </w:rPr>
        <w:t>”), as the Trading Policy may be amended from time to time. Specifically, and without limitation, Executive agrees that Executive shall not purchase or sell stock in the Company at any time (a) that Executive possesses material non-public information about the Company or any of its businesses; and (b) outside of designated “trading windows” as may be determined by the Company from time to time, as set forth in the Trading Policy.</w:t>
      </w:r>
    </w:p>
    <w:p>
      <w:pPr>
        <w:spacing w:after="0" w:line="196" w:lineRule="exact"/>
        <w:rPr>
          <w:rFonts w:ascii="Times New Roman" w:cs="Times New Roman" w:eastAsia="Times New Roman" w:hAnsi="Times New Roman"/>
          <w:sz w:val="21"/>
          <w:szCs w:val="21"/>
          <w:color w:val="auto"/>
        </w:rPr>
      </w:pPr>
    </w:p>
    <w:p>
      <w:pPr>
        <w:jc w:val="both"/>
        <w:ind w:firstLine="624"/>
        <w:spacing w:after="0" w:line="253" w:lineRule="auto"/>
        <w:tabs>
          <w:tab w:leader="none" w:pos="124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Executive shall be covered under the indemnification provisions of the Company’s Certificate of Incorporation or Bylaws in effect from time to time on terms and conditions no less favorable to Executive than those provided to similarly situated executives of the Company generally. The Company may maintain insurance, at its expense, to protect itself and any director, officer, employee or agent of the Company or another corporation,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440" w:right="339" w:bottom="1440" w:gutter="0" w:footer="0" w:header="0"/>
        </w:sectPr>
      </w:pPr>
    </w:p>
    <w:bookmarkStart w:id="28" w:name="page29"/>
    <w:bookmarkEnd w:id="28"/>
    <w:p>
      <w:pPr>
        <w:jc w:val="both"/>
        <w:spacing w:after="0" w:line="252" w:lineRule="auto"/>
        <w:rPr>
          <w:sz w:val="20"/>
          <w:szCs w:val="20"/>
          <w:color w:val="auto"/>
        </w:rPr>
      </w:pPr>
      <w:r>
        <w:rPr>
          <w:rFonts w:ascii="Times New Roman" w:cs="Times New Roman" w:eastAsia="Times New Roman" w:hAnsi="Times New Roman"/>
          <w:sz w:val="21"/>
          <w:szCs w:val="21"/>
          <w:color w:val="auto"/>
        </w:rPr>
        <w:t>joint venture, trust or other enterprise against any expense, liability or loss, whether or not the Company would have the power to indemnify such person against such expense, liability or loss under the Delaware General Corporation Law. A directors’ and officers’ liability insurance policy (or policies) shall be kept in place, during the Term and thereafter until at least the sixth anniversary of the Date of Termination, providing coverage to Executive that is no less favorable to Executive in any respect (including with respect to scope, exclusions, amounts, and deductibles) than the coverage then being provided to any other present or former senior executives or directors of the Company generally.</w:t>
      </w:r>
    </w:p>
    <w:p>
      <w:pPr>
        <w:spacing w:after="0" w:line="199" w:lineRule="exact"/>
        <w:rPr>
          <w:sz w:val="20"/>
          <w:szCs w:val="20"/>
          <w:color w:val="auto"/>
        </w:rPr>
      </w:pPr>
    </w:p>
    <w:p>
      <w:pPr>
        <w:jc w:val="both"/>
        <w:ind w:firstLine="624"/>
        <w:spacing w:after="0" w:line="258" w:lineRule="auto"/>
        <w:tabs>
          <w:tab w:leader="none" w:pos="1242"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Anything to the contrary notwithstanding, all payments required to be made by the Company hereunder to Executive or Executive’s estate or beneficiary shall be subject to the withholding of such amounts, if any, relating to tax and other payroll deductions as the Company may reasonably determine it should withhold pursuant to applicable law or regulation, and other withholding amounts authorized by Executive.</w:t>
      </w:r>
    </w:p>
    <w:p>
      <w:pPr>
        <w:spacing w:after="0" w:line="191" w:lineRule="exact"/>
        <w:rPr>
          <w:sz w:val="20"/>
          <w:szCs w:val="20"/>
          <w:color w:val="auto"/>
        </w:rPr>
      </w:pPr>
    </w:p>
    <w:p>
      <w:pPr>
        <w:jc w:val="both"/>
        <w:ind w:firstLine="624"/>
        <w:spacing w:after="0" w:line="270" w:lineRule="auto"/>
        <w:tabs>
          <w:tab w:leader="none" w:pos="124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written notice required by this Agreement will be deemed provided and delivered to the intended recipient when (a) delivered in person by hand; (b) on the date of transmission, if delivered by confirmed email; (c) three (3) calendar days after being sent via U.S. certified mail, return receipt requested; or (d) the calendar day after being sent via overnight courier, in each case when such notice is properly addressed to the following address and with all postage and similar fees having been paid in advance:</w:t>
      </w:r>
    </w:p>
    <w:p>
      <w:pPr>
        <w:sectPr>
          <w:pgSz w:w="11900" w:h="16838" w:orient="portrait"/>
          <w:cols w:equalWidth="0" w:num="1">
            <w:col w:w="11240"/>
          </w:cols>
          <w:pgMar w:left="320" w:top="1367" w:right="339" w:bottom="1440" w:gutter="0" w:footer="0" w:header="0"/>
        </w:sectPr>
      </w:pPr>
    </w:p>
    <w:p>
      <w:pPr>
        <w:spacing w:after="0" w:line="22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Charter Communications, Inc.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400 Washington Blvd.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Stamford, Connecticut 06902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00" w:lineRule="exact"/>
        <w:rPr>
          <w:sz w:val="20"/>
          <w:szCs w:val="20"/>
          <w:color w:val="auto"/>
        </w:rPr>
      </w:pPr>
    </w:p>
    <w:p>
      <w:pPr>
        <w:sectPr>
          <w:pgSz w:w="11900" w:h="16838" w:orient="portrait"/>
          <w:cols w:equalWidth="0" w:num="2">
            <w:col w:w="4300" w:space="720"/>
            <w:col w:w="6220"/>
          </w:cols>
          <w:pgMar w:left="320" w:top="1367" w:right="339" w:bottom="1440" w:gutter="0" w:footer="0" w:header="0"/>
          <w:type w:val="continuous"/>
        </w:sectPr>
      </w:pPr>
    </w:p>
    <w:p>
      <w:pPr>
        <w:spacing w:after="0" w:line="6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Email: Jamal.Haughton@charter.com</w:t>
      </w:r>
    </w:p>
    <w:p>
      <w:pPr>
        <w:sectPr>
          <w:pgSz w:w="11900" w:h="16838" w:orient="portrait"/>
          <w:cols w:equalWidth="0" w:num="1">
            <w:col w:w="11240"/>
          </w:cols>
          <w:pgMar w:left="320" w:top="1367" w:right="339" w:bottom="1440" w:gutter="0" w:footer="0" w:header="0"/>
          <w:type w:val="continuous"/>
        </w:sectPr>
      </w:pPr>
    </w:p>
    <w:p>
      <w:pPr>
        <w:spacing w:after="0" w:line="3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If to Executive, to the home address and email address of Executive most recently on file in the records of the Company.</w:t>
      </w:r>
    </w:p>
    <w:p>
      <w:pPr>
        <w:spacing w:after="0" w:line="24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1"/>
          <w:szCs w:val="21"/>
          <w:color w:val="auto"/>
        </w:rPr>
        <w:t>Either Party may change the address to which notices, requests, demands and other communications to such Party shall be delivered personally or mailed by giving written notice to the other Party in the manner described above.</w:t>
      </w:r>
    </w:p>
    <w:p>
      <w:pPr>
        <w:spacing w:after="0" w:line="177" w:lineRule="exact"/>
        <w:rPr>
          <w:sz w:val="20"/>
          <w:szCs w:val="20"/>
          <w:color w:val="auto"/>
        </w:rPr>
      </w:pPr>
    </w:p>
    <w:p>
      <w:pPr>
        <w:ind w:firstLine="624"/>
        <w:spacing w:after="0" w:line="285" w:lineRule="auto"/>
        <w:tabs>
          <w:tab w:leader="none" w:pos="124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Agreement shall be for the benefit of and binding upon the Parties hereto and their respective heirs, personal representatives, legal representatives, successors and, where applicable, assigns.</w:t>
      </w:r>
    </w:p>
    <w:p>
      <w:pPr>
        <w:spacing w:after="0" w:line="176" w:lineRule="exact"/>
        <w:rPr>
          <w:rFonts w:ascii="Times New Roman" w:cs="Times New Roman" w:eastAsia="Times New Roman" w:hAnsi="Times New Roman"/>
          <w:sz w:val="21"/>
          <w:szCs w:val="21"/>
          <w:color w:val="auto"/>
        </w:rPr>
      </w:pPr>
    </w:p>
    <w:p>
      <w:pPr>
        <w:jc w:val="both"/>
        <w:ind w:firstLine="624"/>
        <w:spacing w:after="0" w:line="271" w:lineRule="auto"/>
        <w:tabs>
          <w:tab w:leader="none" w:pos="124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contains the entire agreement among the Parties with respect to its specific subject matter and supersedes any prior oral and written communications, agreements and understandings among the Parties concerning the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67" w:right="339" w:bottom="1440" w:gutter="0" w:footer="0" w:header="0"/>
          <w:type w:val="continuous"/>
        </w:sectPr>
      </w:pPr>
    </w:p>
    <w:bookmarkStart w:id="29" w:name="page30"/>
    <w:bookmarkEnd w:id="29"/>
    <w:p>
      <w:pPr>
        <w:jc w:val="both"/>
        <w:spacing w:after="0" w:line="264" w:lineRule="auto"/>
        <w:rPr>
          <w:sz w:val="20"/>
          <w:szCs w:val="20"/>
          <w:color w:val="auto"/>
        </w:rPr>
      </w:pPr>
      <w:r>
        <w:rPr>
          <w:rFonts w:ascii="Times New Roman" w:cs="Times New Roman" w:eastAsia="Times New Roman" w:hAnsi="Times New Roman"/>
          <w:sz w:val="21"/>
          <w:szCs w:val="21"/>
          <w:color w:val="auto"/>
        </w:rPr>
        <w:t xml:space="preserve">subject matter hereof, including, without limitation, the Prior Employment Agreement. This Agreement may not be modified, amended, altered, waived or rescinded in any manner, except by written instrument signed by both of the Parties hereto that expressly refers to the provision of this Agreement that is being modified, amended, altered, waived or rescinded;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waiver by either Party of a breach or compliance with any provision of this Agreement shall not operate nor be construed as a waiver of any subsequent breach or compliance.</w:t>
      </w:r>
    </w:p>
    <w:p>
      <w:pPr>
        <w:spacing w:after="0" w:line="198" w:lineRule="exact"/>
        <w:rPr>
          <w:sz w:val="20"/>
          <w:szCs w:val="20"/>
          <w:color w:val="auto"/>
        </w:rPr>
      </w:pPr>
    </w:p>
    <w:p>
      <w:pPr>
        <w:jc w:val="both"/>
        <w:ind w:firstLine="624"/>
        <w:spacing w:after="0" w:line="264" w:lineRule="auto"/>
        <w:tabs>
          <w:tab w:leader="none" w:pos="124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xml:space="preserve">. In case any one or more of the provisions of this Agreement shall be held by any court of competent jurisdiction or any arbitrator selected in accordance with the terms hereof to be illegal, invalid or unenforceable in any respect, such provision shall have no force and effect, but such holding shall not affect the legality, validity or enforceability of any other provision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provisions held illegal, invalid or unenforceable do not reflect or manifest a fundamental benefit bargained for by a Party hereto.</w:t>
      </w:r>
    </w:p>
    <w:p>
      <w:pPr>
        <w:spacing w:after="0" w:line="198" w:lineRule="exact"/>
        <w:rPr>
          <w:rFonts w:ascii="Times New Roman" w:cs="Times New Roman" w:eastAsia="Times New Roman" w:hAnsi="Times New Roman"/>
          <w:sz w:val="21"/>
          <w:szCs w:val="21"/>
          <w:color w:val="auto"/>
        </w:rPr>
      </w:pPr>
    </w:p>
    <w:p>
      <w:pPr>
        <w:jc w:val="both"/>
        <w:ind w:firstLine="624"/>
        <w:spacing w:after="0" w:line="261" w:lineRule="auto"/>
        <w:tabs>
          <w:tab w:leader="none" w:pos="124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Without limitation of Executive’s right to terminate for Good Reason under Section 11(a)(iv), this Agreement can be assigned by the Company only to a company that controls, is controlled by, or is under common control with the Company and which assumes all of the Company’s obligations hereunder. The duties and covenants of Executive under this Agreement, being personal, may not be assigned or delegated except that Executive may assign payments due hereunder to a trust established for the benefit of Executive’s family or to Executive’s estate or to any partnership or trust entered into by Executive and/or Executive’s immediate family members (meaning Executive’s spouse and lineal descendants). This Agreement shall be binding in all respects on permissible assignees.</w:t>
      </w:r>
    </w:p>
    <w:p>
      <w:pPr>
        <w:spacing w:after="0" w:line="205" w:lineRule="exact"/>
        <w:rPr>
          <w:rFonts w:ascii="Times New Roman" w:cs="Times New Roman" w:eastAsia="Times New Roman" w:hAnsi="Times New Roman"/>
          <w:sz w:val="21"/>
          <w:szCs w:val="21"/>
          <w:color w:val="auto"/>
        </w:rPr>
      </w:pPr>
    </w:p>
    <w:p>
      <w:pPr>
        <w:jc w:val="both"/>
        <w:ind w:firstLine="624"/>
        <w:spacing w:after="0" w:line="262" w:lineRule="auto"/>
        <w:tabs>
          <w:tab w:leader="none" w:pos="124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Law/Jurisdiction</w:t>
      </w:r>
      <w:r>
        <w:rPr>
          <w:rFonts w:ascii="Times New Roman" w:cs="Times New Roman" w:eastAsia="Times New Roman" w:hAnsi="Times New Roman"/>
          <w:sz w:val="21"/>
          <w:szCs w:val="21"/>
          <w:color w:val="auto"/>
        </w:rPr>
        <w:t>. This Agreement is deemed to be accepted and entered into in Delaware. Executive and the Company intend and hereby acknowledge that jurisdiction over disputes with regard to this Agreement, and over all aspects of the relationship between the Parties, shall be governed by the laws of the State of Delaware without giving effect to its rules governing conflicts of laws. With respect to orders in aid or enforcement of arbitration awards and injunctive relief, venue and jurisdiction are proper in any county in Delaware, and (if federal jurisdiction exists) any United States District Court in Delaware, and the Parties waive all objections to jurisdiction and venue in any such forum and any defense that such forum is not the most convenient forum.</w:t>
      </w:r>
    </w:p>
    <w:p>
      <w:pPr>
        <w:spacing w:after="0" w:line="203" w:lineRule="exact"/>
        <w:rPr>
          <w:rFonts w:ascii="Times New Roman" w:cs="Times New Roman" w:eastAsia="Times New Roman" w:hAnsi="Times New Roman"/>
          <w:sz w:val="21"/>
          <w:szCs w:val="21"/>
          <w:color w:val="auto"/>
        </w:rPr>
      </w:pPr>
    </w:p>
    <w:p>
      <w:pPr>
        <w:jc w:val="both"/>
        <w:ind w:firstLine="624"/>
        <w:spacing w:after="0" w:line="262" w:lineRule="auto"/>
        <w:tabs>
          <w:tab w:leader="none" w:pos="124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Any claim or dispute between the Parties arising out of or relating to this Agreement, any other agreement between the Parties, Executive’s employment with the Company, or any termination thereof (collectively, “</w:t>
      </w:r>
      <w:r>
        <w:rPr>
          <w:rFonts w:ascii="Times New Roman" w:cs="Times New Roman" w:eastAsia="Times New Roman" w:hAnsi="Times New Roman"/>
          <w:sz w:val="21"/>
          <w:szCs w:val="21"/>
          <w:u w:val="single" w:color="auto"/>
          <w:color w:val="auto"/>
        </w:rPr>
        <w:t>Covered Claims</w:t>
      </w:r>
      <w:r>
        <w:rPr>
          <w:rFonts w:ascii="Times New Roman" w:cs="Times New Roman" w:eastAsia="Times New Roman" w:hAnsi="Times New Roman"/>
          <w:sz w:val="21"/>
          <w:szCs w:val="21"/>
          <w:color w:val="auto"/>
        </w:rPr>
        <w:t>”) shall (except to the extent otherwise provided in Section 16(g) with respect to certain requests for injunctive relief) be resolved by binding confidential arbitration, to be held in Wilmington, Delaware, before a panel of three arbitrators in accordance with the National Rules for Resolution of Employment Disputes of the American Arbitration Association and this Section 28. Judgment upon the award rendered by the arbitrators may be entered in any court having jurisdiction thereof. Pending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67"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21"/>
          <w:szCs w:val="21"/>
          <w:color w:val="auto"/>
        </w:rPr>
        <w:t>resolution of any Covered Claim, Executive (and Executive’s beneficiaries) shall continue to receive all payments and benefits due under this Agreement or otherwise, except to the extent that the arbitrators otherwise provide. The Company shall reimburse Executive for all costs and expenses (including, without limitation, legal, tax and accounting fees) incurred by Executive in any arbitration under this Section 28, to the extent Executive substantially prevails in any such arbitration.</w:t>
      </w:r>
    </w:p>
    <w:p>
      <w:pPr>
        <w:spacing w:after="0" w:line="197" w:lineRule="exact"/>
        <w:rPr>
          <w:sz w:val="20"/>
          <w:szCs w:val="20"/>
          <w:color w:val="auto"/>
        </w:rPr>
      </w:pPr>
    </w:p>
    <w:p>
      <w:pPr>
        <w:ind w:firstLine="624"/>
        <w:spacing w:after="0" w:line="285" w:lineRule="auto"/>
        <w:tabs>
          <w:tab w:leader="none" w:pos="1242"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Headings</w:t>
      </w:r>
      <w:r>
        <w:rPr>
          <w:rFonts w:ascii="Times New Roman" w:cs="Times New Roman" w:eastAsia="Times New Roman" w:hAnsi="Times New Roman"/>
          <w:sz w:val="21"/>
          <w:szCs w:val="21"/>
          <w:color w:val="auto"/>
        </w:rPr>
        <w:t>. The section headings contained in this Agreement are for reference purposes only and shall not affect in any manner the meaning or interpretation of this Agreement.</w:t>
      </w:r>
    </w:p>
    <w:p>
      <w:pPr>
        <w:spacing w:after="0" w:line="176" w:lineRule="exact"/>
        <w:rPr>
          <w:rFonts w:ascii="Times New Roman" w:cs="Times New Roman" w:eastAsia="Times New Roman" w:hAnsi="Times New Roman"/>
          <w:sz w:val="21"/>
          <w:szCs w:val="21"/>
          <w:color w:val="auto"/>
        </w:rPr>
      </w:pPr>
    </w:p>
    <w:p>
      <w:pPr>
        <w:jc w:val="both"/>
        <w:ind w:firstLine="624"/>
        <w:spacing w:after="0" w:line="271" w:lineRule="auto"/>
        <w:tabs>
          <w:tab w:leader="none" w:pos="1242"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each of which shall be deemed an original, but all of which taken together shall constitute one and the same instrument. This Agreement may also be executed by delivery of facsimile or “.pdf” signatures, which shall be effective for all purposes.</w:t>
      </w:r>
    </w:p>
    <w:p>
      <w:pPr>
        <w:spacing w:after="0" w:line="190"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Compliance</w:t>
      </w:r>
      <w:r>
        <w:rPr>
          <w:rFonts w:ascii="Times New Roman" w:cs="Times New Roman" w:eastAsia="Times New Roman" w:hAnsi="Times New Roman"/>
          <w:sz w:val="21"/>
          <w:szCs w:val="21"/>
          <w:color w:val="auto"/>
        </w:rPr>
        <w:t>.</w:t>
      </w:r>
    </w:p>
    <w:p>
      <w:pPr>
        <w:spacing w:after="0" w:line="250" w:lineRule="exact"/>
        <w:rPr>
          <w:rFonts w:ascii="Times New Roman" w:cs="Times New Roman" w:eastAsia="Times New Roman" w:hAnsi="Times New Roman"/>
          <w:sz w:val="21"/>
          <w:szCs w:val="21"/>
          <w:color w:val="auto"/>
        </w:rPr>
      </w:pPr>
    </w:p>
    <w:p>
      <w:pPr>
        <w:jc w:val="both"/>
        <w:ind w:firstLine="1245"/>
        <w:spacing w:after="0" w:line="259" w:lineRule="auto"/>
        <w:tabs>
          <w:tab w:leader="none" w:pos="186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intended to comply with Section 409A of the Code or an exemption thereto, and, to the extent necessary in order to avoid the imposition of a penalty tax on Executive under Section 409A of the Code, payments may only be made under this Agreement upon an event and in a manner permitted by Section 409A of the Code. Any payments or benefits that are provided upon a termination of employment shall, to the extent necessary in order to avoid the imposition of a penalty tax on Executive under Section 409A of the Code, not be provided unless such termination constitutes a “separation from service” within the meaning of Section 409A of the Code. Any payments that qualify for the “short term deferral” exception or another exception under Section 409A of the Code shall be paid under the applicable exception. Notwithstanding anything in this Agreement to the contrary, if Executive is considered a “specified employee” (as defined in Section 409A of the Code), any amounts paid or provided under this Agreement shall, to the extent necessary in order to avoid the imposition of a penalty tax on Executive under Section 409A of the Code, be delayed for six (6) months after Executive’s “separation from service” within the meaning of Section 409A of the Code, and the accumulated amounts shall be paid in a lump sum within ten (10) calendar days after the end of the six (6)-month period. If Executive dies during the six (6)-month postponement period prior to the payment of benefits, the amounts the payment of which is deferred on account of Section 409A of the Code shall be paid to the personal representative of Executive’s estate within sixty (60) calendar days after the date of Executive’s death.</w:t>
      </w:r>
    </w:p>
    <w:p>
      <w:pPr>
        <w:spacing w:after="0" w:line="206" w:lineRule="exact"/>
        <w:rPr>
          <w:rFonts w:ascii="Times New Roman" w:cs="Times New Roman" w:eastAsia="Times New Roman" w:hAnsi="Times New Roman"/>
          <w:sz w:val="21"/>
          <w:szCs w:val="21"/>
          <w:color w:val="auto"/>
        </w:rPr>
      </w:pPr>
    </w:p>
    <w:p>
      <w:pPr>
        <w:jc w:val="both"/>
        <w:ind w:firstLine="1245"/>
        <w:spacing w:after="0" w:line="266" w:lineRule="auto"/>
        <w:tabs>
          <w:tab w:leader="none" w:pos="1858"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Section 409A of the Code, the right to a series of installment payments under this Agreement shall be treated as a right to a series of separate payments. In no event may Executive, directly or indirectly, designate the calendar year of a payment. All reimbursements and in kind benefits provided under this Agreement shall be made or provided in accordance with the requirements of Section 409A of the Code, including,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6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1"/>
          <w:szCs w:val="21"/>
          <w:color w:val="auto"/>
        </w:rPr>
        <w:t>applicable, the requirement that (i) any reimbursement is for expenses incurred during the period of time specified in this Agreement,</w:t>
      </w:r>
    </w:p>
    <w:p>
      <w:pPr>
        <w:spacing w:after="0" w:line="29" w:lineRule="exact"/>
        <w:rPr>
          <w:sz w:val="20"/>
          <w:szCs w:val="20"/>
          <w:color w:val="auto"/>
        </w:rPr>
      </w:pPr>
    </w:p>
    <w:p>
      <w:pPr>
        <w:jc w:val="both"/>
        <w:ind w:firstLine="3"/>
        <w:spacing w:after="0" w:line="262" w:lineRule="auto"/>
        <w:tabs>
          <w:tab w:leader="none" w:pos="30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calendar day of the calendar year following the year in which the expense is incurred, and (iv) the right to reimbursement or in kind benefits is not subject to liquidation or exchange for another benefit.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6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on the date and year first above written.</w:t>
      </w:r>
    </w:p>
    <w:p>
      <w:pPr>
        <w:spacing w:after="0" w:line="27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CHARTER COMMUNICATIONS, INC.</w:t>
      </w:r>
    </w:p>
    <w:p>
      <w:pPr>
        <w:spacing w:after="0" w:line="276" w:lineRule="exact"/>
        <w:rPr>
          <w:sz w:val="20"/>
          <w:szCs w:val="20"/>
          <w:color w:val="auto"/>
        </w:rPr>
      </w:pPr>
    </w:p>
    <w:p>
      <w:pPr>
        <w:ind w:left="4240"/>
        <w:spacing w:after="0"/>
        <w:tabs>
          <w:tab w:leader="none" w:pos="4800" w:val="left"/>
        </w:tabs>
        <w:rPr>
          <w:sz w:val="20"/>
          <w:szCs w:val="20"/>
          <w:color w:val="auto"/>
        </w:rPr>
      </w:pPr>
      <w:r>
        <w:rPr>
          <w:rFonts w:ascii="Times New Roman" w:cs="Times New Roman" w:eastAsia="Times New Roman" w:hAnsi="Times New Roman"/>
          <w:sz w:val="21"/>
          <w:szCs w:val="21"/>
          <w:color w:val="auto"/>
        </w:rPr>
        <w:t>By:</w:t>
        <w:tab/>
        <w:t>/s/ Paul Marchand</w:t>
      </w:r>
    </w:p>
    <w:p>
      <w:pPr>
        <w:spacing w:after="0" w:line="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Print Name: Paul Marchand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3049905</wp:posOffset>
            </wp:positionH>
            <wp:positionV relativeFrom="paragraph">
              <wp:posOffset>-151130</wp:posOffset>
            </wp:positionV>
            <wp:extent cx="3696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96335"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1"/>
          <w:szCs w:val="21"/>
          <w:color w:val="auto"/>
        </w:rPr>
        <w:t>Title: Executive Vice President, Chief</w:t>
      </w:r>
    </w:p>
    <w:p>
      <w:pPr>
        <w:spacing w:after="0" w:line="1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Human Resources Officer</w:t>
      </w:r>
    </w:p>
    <w:p>
      <w:pPr>
        <w:spacing w:after="0" w:line="26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EXECUTIVE</w:t>
      </w:r>
    </w:p>
    <w:p>
      <w:pPr>
        <w:spacing w:after="0" w:line="27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/s/ Jamal Haughton</w:t>
      </w:r>
    </w:p>
    <w:p>
      <w:pPr>
        <w:spacing w:after="0" w:line="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Name: Jamal Haughton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-151765</wp:posOffset>
            </wp:positionV>
            <wp:extent cx="4065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65905" cy="8255"/>
                    </a:xfrm>
                    <a:prstGeom prst="rect">
                      <a:avLst/>
                    </a:prstGeom>
                    <a:noFill/>
                  </pic:spPr>
                </pic:pic>
              </a:graphicData>
            </a:graphic>
          </wp:anchor>
        </w:drawing>
      </w:r>
    </w:p>
    <w:p>
      <w:pPr>
        <w:sectPr>
          <w:pgSz w:w="11900" w:h="16838" w:orient="portrait"/>
          <w:cols w:equalWidth="0" w:num="1">
            <w:col w:w="9519"/>
          </w:cols>
          <w:pgMar w:left="940" w:top="1365" w:right="1440" w:bottom="1440" w:gutter="0" w:footer="0" w:header="0"/>
        </w:sectPr>
      </w:pPr>
    </w:p>
    <w:bookmarkStart w:id="33" w:name="page34"/>
    <w:bookmarkEnd w:id="33"/>
    <w:p>
      <w:pPr>
        <w:jc w:val="center"/>
        <w:ind w:right="-305"/>
        <w:spacing w:after="0"/>
        <w:rPr>
          <w:sz w:val="20"/>
          <w:szCs w:val="20"/>
          <w:color w:val="auto"/>
        </w:rPr>
      </w:pPr>
      <w:r>
        <w:rPr>
          <w:rFonts w:ascii="Times New Roman" w:cs="Times New Roman" w:eastAsia="Times New Roman" w:hAnsi="Times New Roman"/>
          <w:sz w:val="21"/>
          <w:szCs w:val="21"/>
          <w:u w:val="single" w:color="auto"/>
          <w:color w:val="auto"/>
        </w:rPr>
        <w:t>SCHEDULE 1</w:t>
      </w:r>
    </w:p>
    <w:p>
      <w:pPr>
        <w:spacing w:after="0" w:line="28" w:lineRule="exact"/>
        <w:rPr>
          <w:sz w:val="20"/>
          <w:szCs w:val="20"/>
          <w:color w:val="auto"/>
        </w:rPr>
      </w:pPr>
    </w:p>
    <w:p>
      <w:pPr>
        <w:jc w:val="center"/>
        <w:ind w:right="-305"/>
        <w:spacing w:after="0"/>
        <w:rPr>
          <w:sz w:val="20"/>
          <w:szCs w:val="20"/>
          <w:color w:val="auto"/>
        </w:rPr>
      </w:pPr>
      <w:r>
        <w:rPr>
          <w:rFonts w:ascii="Times New Roman" w:cs="Times New Roman" w:eastAsia="Times New Roman" w:hAnsi="Times New Roman"/>
          <w:sz w:val="21"/>
          <w:szCs w:val="21"/>
          <w:u w:val="single" w:color="auto"/>
          <w:color w:val="auto"/>
        </w:rPr>
        <w:t>COMPETITIVE BUSINESS ACTIVITIES</w:t>
      </w:r>
    </w:p>
    <w:p>
      <w:pPr>
        <w:spacing w:after="0" w:line="213" w:lineRule="exact"/>
        <w:rPr>
          <w:sz w:val="20"/>
          <w:szCs w:val="20"/>
          <w:color w:val="auto"/>
        </w:rPr>
      </w:pPr>
    </w:p>
    <w:p>
      <w:pPr>
        <w:jc w:val="both"/>
        <w:ind w:left="306" w:hanging="306"/>
        <w:spacing w:after="0" w:line="249" w:lineRule="auto"/>
        <w:tabs>
          <w:tab w:leader="none" w:pos="3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distribution of video programming to consumer or commercial customers or users on a retail or wholesale basis, whether by analog or digital technology, to any type of end-user equipment (television, computer, phone, personal digital assistant, tablet, console or other), and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competitive video programming distribution as of the date hereof: Alphabet Inc. (including Google Fiber, YouTube and YouTube TV); Amazon.com, Inc. (including Amazon Prime); Apple Inc. (including Apple TV+); Astound Broadband (including Astound Broadband powered by Grande); AT&amp;T Inc.; Cincinnati Bell Inc. d/b/a Altafiber (including Hawaiian Telecom); DIRECTV; EchoStar Corporation (including DISH Network L.L.C., Sling Media and Sling TV); Endeavor Streaming; Fandango at Home; Fox Corporation; Frontier Communications Parent, Inc.; Lumen Technologies, Inc.; Meta Platforms, Inc.; Microsoft Corporation (including Xbox); Netflix, Inc.; Paramount Skydance (including Paramount+ and Pluto TV); Philo; Public Broadcasting Service and its broadcast affiliates; Roku, Inc.; Sony Corporation of America (including Sony Interactive Entertainment and PlayStation); Starz; The Walt Disney Company (including ABC, Disney+, ESPN and Hulu); T-Mobile US, Inc.; TiVo Platform Technologies LLC; Verizon Communications, Inc.; Warner Bros. Discovery (including HBO Max); and WideOpenWest, Inc.</w:t>
      </w:r>
    </w:p>
    <w:p>
      <w:pPr>
        <w:spacing w:after="0" w:line="200" w:lineRule="exact"/>
        <w:rPr>
          <w:rFonts w:ascii="Times New Roman" w:cs="Times New Roman" w:eastAsia="Times New Roman" w:hAnsi="Times New Roman"/>
          <w:sz w:val="21"/>
          <w:szCs w:val="21"/>
          <w:color w:val="auto"/>
        </w:rPr>
      </w:pPr>
    </w:p>
    <w:p>
      <w:pPr>
        <w:jc w:val="both"/>
        <w:ind w:left="306" w:hanging="306"/>
        <w:spacing w:after="0" w:line="250" w:lineRule="auto"/>
        <w:tabs>
          <w:tab w:leader="none" w:pos="30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of Internet access or portal service (including related applications and services) to consumer or commercial customers or users, on a retail or wholesale basis, whether by analog or digital technology, to any type of end-user equipment (television, computer, phone, personal digital assistant, tablet, console or other), and by any distribution platform (including dial-up, coaxial cable, fiber optic cable, digital subscriber line, power line, satellite and wireless) or protocol (IP or other). Executive agrees that the following companies (and their parents, subsidiaries and controlled affiliates), and their successors and assigns, are among those engaged in competitive high-speed Internet access and/or portal service as of the date hereof: Alphabet Inc. (including Google Fiber); Astound Broadband; AT&amp;T Inc.; Cincinnati Bell Inc. d/b/a Altafiber (including Hawaiian Telecom); DIRECTV; EchoStar Corporation (including DISH Network L.L.C. and Sling Media); Frontier Communications Parent, Inc.; Lumen Technologies, Inc.; Microsoft Corporation (including MSN); T-Mobile US, Inc.; Verizon Communications, Inc.; Windstream Holdings, Inc.; and WideOpenWest, Inc.</w:t>
      </w:r>
    </w:p>
    <w:p>
      <w:pPr>
        <w:spacing w:after="0" w:line="201" w:lineRule="exact"/>
        <w:rPr>
          <w:rFonts w:ascii="Times New Roman" w:cs="Times New Roman" w:eastAsia="Times New Roman" w:hAnsi="Times New Roman"/>
          <w:sz w:val="21"/>
          <w:szCs w:val="21"/>
          <w:color w:val="auto"/>
        </w:rPr>
      </w:pPr>
    </w:p>
    <w:p>
      <w:pPr>
        <w:jc w:val="both"/>
        <w:ind w:left="306" w:hanging="306"/>
        <w:spacing w:after="0" w:line="258" w:lineRule="auto"/>
        <w:tabs>
          <w:tab w:leader="none" w:pos="30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of voice and/or data service or transport to consumer or commercial customers or users, on a retail or wholesale business, whether by analog or digital technology, by any distribution platform (including coaxial cable, fiber optic cable, digital subscriber line, power line, satellite, wireless and Internet) or protocol (IP or other). Executive agrees that the following companies (and their parents,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94"/>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0926"/>
          </w:cols>
          <w:pgMar w:left="634" w:top="1367" w:right="339" w:bottom="1440" w:gutter="0" w:footer="0" w:header="0"/>
        </w:sectPr>
      </w:pPr>
    </w:p>
    <w:bookmarkStart w:id="34" w:name="page35"/>
    <w:bookmarkEnd w:id="34"/>
    <w:p>
      <w:pPr>
        <w:jc w:val="both"/>
        <w:ind w:left="306"/>
        <w:spacing w:after="0" w:line="251" w:lineRule="auto"/>
        <w:rPr>
          <w:sz w:val="20"/>
          <w:szCs w:val="20"/>
          <w:color w:val="auto"/>
        </w:rPr>
      </w:pPr>
      <w:r>
        <w:rPr>
          <w:rFonts w:ascii="Times New Roman" w:cs="Times New Roman" w:eastAsia="Times New Roman" w:hAnsi="Times New Roman"/>
          <w:sz w:val="21"/>
          <w:szCs w:val="21"/>
          <w:color w:val="auto"/>
        </w:rPr>
        <w:t>controlled affiliates), and their successors and assigns, are among those engaged in competitive voice and/or data service or transport as of the date hereof: Allstream Inc.; Alphabet Inc. (including Google Fiber and Google Voice); Astound Broadband; AT&amp;T Inc.; Cincinnati Bell Inc. d/b/a Altafiber (including Hawaiian Telecom); DIRECTV; EarthLink Holdings Corp.; EchoStar Corporation (including DISH Network L.L.C. and Sling Media); Frontier Communications Parent, Inc.; Fusion Connect, Inc.; Lumen Technologies, Inc.; Lumos Networks Corp.; magicJack; Microsoft Corporation (including Microsoft Teams); Ooma, Inc.; T-Mobile US, Inc.; Verizon Communications, Inc.; Vonage Holdings Corp.; WideOpenWest, Inc.; Windstream Holdings, Inc.; and Zayo Group Holdings, Inc.</w:t>
      </w:r>
    </w:p>
    <w:p>
      <w:pPr>
        <w:spacing w:after="0" w:line="198" w:lineRule="exact"/>
        <w:rPr>
          <w:sz w:val="20"/>
          <w:szCs w:val="20"/>
          <w:color w:val="auto"/>
        </w:rPr>
      </w:pPr>
    </w:p>
    <w:p>
      <w:pPr>
        <w:jc w:val="both"/>
        <w:ind w:left="306" w:hanging="306"/>
        <w:spacing w:after="0" w:line="251" w:lineRule="auto"/>
        <w:tabs>
          <w:tab w:leader="none" w:pos="30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of wireless communications services to consumer or commercial customers or users, on a retail or wholesale basis, whether by analog or digital technology, to any type of end-user equipment (television, computer, phone, personal digital assistant, tablet, console or other) and by any technology or protocol (IP or other). Executive agrees that the following companies (and their parents, subsidiaries and controlled affiliates), and their successor and assigns, are among those engaged in the provision of competitive wireless service as of the date hereof: AT&amp;T Inc.; Boingo Wireless, Inc.; EchoStar Corporation (including DISH Network L.L.C.); T-Mobile US, Inc. (including Metro by T-Mobile); Verizon Communications, Inc.; and Windstream Holdings, Inc.</w:t>
      </w:r>
    </w:p>
    <w:p>
      <w:pPr>
        <w:spacing w:after="0" w:line="211" w:lineRule="exact"/>
        <w:rPr>
          <w:rFonts w:ascii="Times New Roman" w:cs="Times New Roman" w:eastAsia="Times New Roman" w:hAnsi="Times New Roman"/>
          <w:sz w:val="21"/>
          <w:szCs w:val="21"/>
          <w:color w:val="auto"/>
        </w:rPr>
      </w:pPr>
    </w:p>
    <w:p>
      <w:pPr>
        <w:jc w:val="both"/>
        <w:ind w:left="306" w:hanging="306"/>
        <w:spacing w:after="0" w:line="249" w:lineRule="auto"/>
        <w:tabs>
          <w:tab w:leader="none" w:pos="303"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other provision of advertising to commercial customers, directly or indirectly through representation groups, cooperatives or otherwise, on a retail or wholesale basis, for distribution by analog or digital technology, to any type of end-user equipment (television, computer, phone, personal digital assistant, tablet, console or other),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such competitive activities as of the date hereof: Alphabet Inc. (including YouTube); Apple, Inc.; Astound Broadband; AT&amp;T Inc.; DIRECTV; EchoStar Corporation (including DISH Network L.L.C. and Sling Media); Meta Platforms, Inc.; Microsoft Corporation (including MSN); Verizon Communications, Inc.; Viamedia, Inc.; and WideOpenWest, Inc.</w:t>
      </w:r>
    </w:p>
    <w:p>
      <w:pPr>
        <w:spacing w:after="0" w:line="200" w:lineRule="exact"/>
        <w:rPr>
          <w:sz w:val="20"/>
          <w:szCs w:val="20"/>
          <w:color w:val="auto"/>
        </w:rPr>
      </w:pPr>
    </w:p>
    <w:p>
      <w:pPr>
        <w:spacing w:after="0" w:line="236" w:lineRule="exact"/>
        <w:rPr>
          <w:sz w:val="20"/>
          <w:szCs w:val="20"/>
          <w:color w:val="auto"/>
        </w:rPr>
      </w:pPr>
    </w:p>
    <w:p>
      <w:pPr>
        <w:jc w:val="center"/>
        <w:ind w:right="294"/>
        <w:spacing w:after="0"/>
        <w:rPr>
          <w:sz w:val="20"/>
          <w:szCs w:val="20"/>
          <w:color w:val="auto"/>
        </w:rPr>
      </w:pPr>
      <w:r>
        <w:rPr>
          <w:rFonts w:ascii="Times New Roman" w:cs="Times New Roman" w:eastAsia="Times New Roman" w:hAnsi="Times New Roman"/>
          <w:sz w:val="21"/>
          <w:szCs w:val="21"/>
          <w:color w:val="auto"/>
        </w:rPr>
        <w:t>[End of 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94"/>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0926"/>
          </w:cols>
          <w:pgMar w:left="634" w:top="1367" w:right="339" w:bottom="1440" w:gutter="0" w:footer="0" w:header="0"/>
        </w:sectPr>
      </w:pPr>
    </w:p>
    <w:bookmarkStart w:id="35" w:name="page36"/>
    <w:bookmarkEnd w:id="35"/>
    <w:p>
      <w:pPr>
        <w:jc w:val="center"/>
        <w:ind w:right="-319"/>
        <w:spacing w:after="0"/>
        <w:rPr>
          <w:sz w:val="20"/>
          <w:szCs w:val="20"/>
          <w:color w:val="auto"/>
        </w:rPr>
      </w:pPr>
      <w:r>
        <w:rPr>
          <w:rFonts w:ascii="Times New Roman" w:cs="Times New Roman" w:eastAsia="Times New Roman" w:hAnsi="Times New Roman"/>
          <w:sz w:val="21"/>
          <w:szCs w:val="21"/>
          <w:u w:val="single" w:color="auto"/>
          <w:color w:val="auto"/>
        </w:rPr>
        <w:t>EXHIBIT A</w:t>
      </w: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u w:val="single" w:color="auto"/>
          <w:color w:val="auto"/>
        </w:rPr>
        <w:t>RELEASE</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This Release of Claims (this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is entered into as of the “Date of Termination” (as defined in that certain Employment Agreement, dated as of May 15, 2026, to which JAMAL HAUGHTON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CHARTER COMMUNICATIONS,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are parties, as such agreement is from time to time amended in accordance with its terms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ind w:left="1240" w:hanging="616"/>
        <w:spacing w:after="0"/>
        <w:tabs>
          <w:tab w:leader="none" w:pos="12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of Claims by Executive</w:t>
      </w:r>
      <w:r>
        <w:rPr>
          <w:rFonts w:ascii="Times New Roman" w:cs="Times New Roman" w:eastAsia="Times New Roman" w:hAnsi="Times New Roman"/>
          <w:sz w:val="21"/>
          <w:szCs w:val="21"/>
          <w:color w:val="auto"/>
        </w:rPr>
        <w:t>.</w:t>
      </w:r>
    </w:p>
    <w:p>
      <w:pPr>
        <w:spacing w:after="0" w:line="237" w:lineRule="exact"/>
        <w:rPr>
          <w:rFonts w:ascii="Times New Roman" w:cs="Times New Roman" w:eastAsia="Times New Roman" w:hAnsi="Times New Roman"/>
          <w:sz w:val="21"/>
          <w:szCs w:val="21"/>
          <w:color w:val="auto"/>
        </w:rPr>
      </w:pPr>
    </w:p>
    <w:p>
      <w:pPr>
        <w:jc w:val="both"/>
        <w:ind w:firstLine="1245"/>
        <w:spacing w:after="0" w:line="261" w:lineRule="auto"/>
        <w:tabs>
          <w:tab w:leader="none" w:pos="18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12(h) of the Employment Agreement, Executive, with the intention of binding Executive and Executive’s heirs, executors, administrators and assigns (collectively, and together with Executive, the “</w:t>
      </w:r>
      <w:r>
        <w:rPr>
          <w:rFonts w:ascii="Times New Roman" w:cs="Times New Roman" w:eastAsia="Times New Roman" w:hAnsi="Times New Roman"/>
          <w:sz w:val="20"/>
          <w:szCs w:val="20"/>
          <w:u w:val="single" w:color="auto"/>
          <w:color w:val="auto"/>
        </w:rPr>
        <w:t>Executive Releasors</w:t>
      </w:r>
      <w:r>
        <w:rPr>
          <w:rFonts w:ascii="Times New Roman" w:cs="Times New Roman" w:eastAsia="Times New Roman" w:hAnsi="Times New Roman"/>
          <w:sz w:val="20"/>
          <w:szCs w:val="20"/>
          <w:color w:val="auto"/>
        </w:rPr>
        <w:t>”), hereby releases, remises, acquits and forever discharges the Company and each of its subsidiaries and affiliates (the “</w:t>
      </w:r>
      <w:r>
        <w:rPr>
          <w:rFonts w:ascii="Times New Roman" w:cs="Times New Roman" w:eastAsia="Times New Roman" w:hAnsi="Times New Roman"/>
          <w:sz w:val="20"/>
          <w:szCs w:val="20"/>
          <w:u w:val="single" w:color="auto"/>
          <w:color w:val="auto"/>
        </w:rPr>
        <w:t>Company Affiliated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Group</w:t>
      </w:r>
      <w:r>
        <w:rPr>
          <w:rFonts w:ascii="Times New Roman" w:cs="Times New Roman" w:eastAsia="Times New Roman" w:hAnsi="Times New Roman"/>
          <w:sz w:val="20"/>
          <w:szCs w:val="20"/>
          <w:color w:val="auto"/>
        </w:rPr>
        <w:t>”), and their past and present directors, employees, agents, attorneys, accountants, representatives, plan fiduciaries, and the successors, predecessors and assigns of each of the foregoing (collectively, and together with the members of the Company Affiliated Group, the “</w:t>
      </w:r>
      <w:r>
        <w:rPr>
          <w:rFonts w:ascii="Times New Roman" w:cs="Times New Roman" w:eastAsia="Times New Roman" w:hAnsi="Times New Roman"/>
          <w:sz w:val="20"/>
          <w:szCs w:val="20"/>
          <w:u w:val="single" w:color="auto"/>
          <w:color w:val="auto"/>
        </w:rPr>
        <w:t>Company Released Parties</w:t>
      </w:r>
      <w:r>
        <w:rPr>
          <w:rFonts w:ascii="Times New Roman" w:cs="Times New Roman" w:eastAsia="Times New Roman" w:hAnsi="Times New Roman"/>
          <w:sz w:val="20"/>
          <w:szCs w:val="20"/>
          <w:color w:val="auto"/>
        </w:rPr>
        <w:t>”),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that arise out of, or relate in any way to, events occurring on or before the date hereof relating to Executive’s employment or the termination of such employment (collectively, “</w:t>
      </w:r>
      <w:r>
        <w:rPr>
          <w:rFonts w:ascii="Times New Roman" w:cs="Times New Roman" w:eastAsia="Times New Roman" w:hAnsi="Times New Roman"/>
          <w:sz w:val="20"/>
          <w:szCs w:val="20"/>
          <w:u w:val="single" w:color="auto"/>
          <w:color w:val="auto"/>
        </w:rPr>
        <w:t>Released Claims</w:t>
      </w:r>
      <w:r>
        <w:rPr>
          <w:rFonts w:ascii="Times New Roman" w:cs="Times New Roman" w:eastAsia="Times New Roman" w:hAnsi="Times New Roman"/>
          <w:sz w:val="20"/>
          <w:szCs w:val="20"/>
          <w:color w:val="auto"/>
        </w:rPr>
        <w:t>”) and that Executive, individually or as a member of a class, now has, owns or holds, or has at any time heretofore had, owned or held, against any Company Released Party in any capacity, including any and all Released Claims (i) arising out of or in any way connected with Executive’s service to any member of the Company Affiliated Group (or the predecessors thereof) in any capacity (including as an employee, officer or director), or the termination of such service in any such capacity, (ii) for severance or vacation benefits, unpaid wages, salary or incentive payments, (iii) for breach of contract, wrongful discharge, impairment of economic opportunity, defamation, intentional infliction of emotional harm or other tort, (iv) for any violation of applicable federal, state and local labor and employment laws (including all laws concerning unlawful and unfair labor and employment practices) and (v) for employment discrimination under any applicable federal, state or local statute, provision, order or regulation, and including, without limitation, any claim under Title VII of the Civil Rights Act of 1964 (“</w:t>
      </w:r>
      <w:r>
        <w:rPr>
          <w:rFonts w:ascii="Times New Roman" w:cs="Times New Roman" w:eastAsia="Times New Roman" w:hAnsi="Times New Roman"/>
          <w:sz w:val="20"/>
          <w:szCs w:val="20"/>
          <w:u w:val="single" w:color="auto"/>
          <w:color w:val="auto"/>
        </w:rPr>
        <w:t>Title VII</w:t>
      </w:r>
      <w:r>
        <w:rPr>
          <w:rFonts w:ascii="Times New Roman" w:cs="Times New Roman" w:eastAsia="Times New Roman" w:hAnsi="Times New Roman"/>
          <w:sz w:val="20"/>
          <w:szCs w:val="20"/>
          <w:color w:val="auto"/>
        </w:rPr>
        <w:t>”), the Age Discrimination in Employment Act (“</w:t>
      </w:r>
      <w:r>
        <w:rPr>
          <w:rFonts w:ascii="Times New Roman" w:cs="Times New Roman" w:eastAsia="Times New Roman" w:hAnsi="Times New Roman"/>
          <w:sz w:val="20"/>
          <w:szCs w:val="20"/>
          <w:u w:val="single" w:color="auto"/>
          <w:color w:val="auto"/>
        </w:rPr>
        <w:t>ADEA</w:t>
      </w:r>
      <w:r>
        <w:rPr>
          <w:rFonts w:ascii="Times New Roman" w:cs="Times New Roman" w:eastAsia="Times New Roman" w:hAnsi="Times New Roman"/>
          <w:sz w:val="20"/>
          <w:szCs w:val="20"/>
          <w:color w:val="auto"/>
        </w:rPr>
        <w:t>”) and any similar or analogous state statute, excepting only that no claim in respect of any of the following rights shall constitute a Released Claim:</w:t>
      </w:r>
    </w:p>
    <w:p>
      <w:pPr>
        <w:spacing w:after="0" w:line="198" w:lineRule="exact"/>
        <w:rPr>
          <w:sz w:val="20"/>
          <w:szCs w:val="20"/>
          <w:color w:val="auto"/>
        </w:rPr>
      </w:pPr>
    </w:p>
    <w:p>
      <w:pPr>
        <w:ind w:left="1860" w:hanging="615"/>
        <w:spacing w:after="0"/>
        <w:tabs>
          <w:tab w:leader="none" w:pos="186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right arising under, or preserved by, this Release or the Employment Agreement;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3" w:lineRule="exact"/>
        <w:rPr>
          <w:rFonts w:ascii="Times New Roman" w:cs="Times New Roman" w:eastAsia="Times New Roman" w:hAnsi="Times New Roman"/>
          <w:sz w:val="21"/>
          <w:szCs w:val="21"/>
          <w:color w:val="auto"/>
        </w:rPr>
      </w:pPr>
    </w:p>
    <w:p>
      <w:pPr>
        <w:ind w:left="54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A-1</w:t>
      </w:r>
    </w:p>
    <w:p>
      <w:pPr>
        <w:sectPr>
          <w:pgSz w:w="11900" w:h="16838" w:orient="portrait"/>
          <w:cols w:equalWidth="0" w:num="1">
            <w:col w:w="11240"/>
          </w:cols>
          <w:pgMar w:left="320" w:top="1367" w:right="339" w:bottom="1440" w:gutter="0" w:footer="0" w:header="0"/>
        </w:sectPr>
      </w:pPr>
    </w:p>
    <w:bookmarkStart w:id="36" w:name="page37"/>
    <w:bookmarkEnd w:id="36"/>
    <w:p>
      <w:pPr>
        <w:jc w:val="both"/>
        <w:ind w:firstLine="1245"/>
        <w:spacing w:after="0" w:line="258" w:lineRule="auto"/>
        <w:tabs>
          <w:tab w:leader="none" w:pos="185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avoidance of doubt, any right to indemnification under (i) applicable corporate law, (ii) the by-laws or certificate of incorporation of any Company Released Party, (iii) any other agreement between Executive and a Company Released Party or (iv) as an insured under any director’s and officer’s liability insurance policy now or previously in force; or</w:t>
      </w:r>
    </w:p>
    <w:p>
      <w:pPr>
        <w:spacing w:after="0" w:line="204" w:lineRule="exact"/>
        <w:rPr>
          <w:rFonts w:ascii="Times New Roman" w:cs="Times New Roman" w:eastAsia="Times New Roman" w:hAnsi="Times New Roman"/>
          <w:sz w:val="21"/>
          <w:szCs w:val="21"/>
          <w:color w:val="auto"/>
        </w:rPr>
      </w:pPr>
    </w:p>
    <w:p>
      <w:pPr>
        <w:ind w:firstLine="1245"/>
        <w:spacing w:after="0" w:line="273" w:lineRule="auto"/>
        <w:tabs>
          <w:tab w:leader="none" w:pos="185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avoidance of doubt, any claim for benefits under any health, disability, retirement, life insurance or similar employee benefit plan of the Company Affiliated Group.</w:t>
      </w:r>
    </w:p>
    <w:p>
      <w:pPr>
        <w:spacing w:after="0" w:line="175" w:lineRule="exact"/>
        <w:rPr>
          <w:sz w:val="20"/>
          <w:szCs w:val="20"/>
          <w:color w:val="auto"/>
        </w:rPr>
      </w:pPr>
    </w:p>
    <w:p>
      <w:pPr>
        <w:jc w:val="both"/>
        <w:ind w:firstLine="1245"/>
        <w:spacing w:after="0" w:line="251" w:lineRule="auto"/>
        <w:tabs>
          <w:tab w:leader="none" w:pos="185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Executive Releasor shall file or cause to be filed any action, suit, claim, charge or proceeding with any governmental agency, court or tribunal relating to any Released Claim within the scope of this Section 1 (each, individually,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xml:space="preserve">”), and no Executive Releasor shall participate voluntarily in any Proceeding;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and subject to the immediately following sentence, nothing set forth herein is intended to or shall interfere with Executive’s right to participate in a Proceeding with any appropriate federal, state, or local government agency enforcing discrimination laws, nor shall this Agreement prohibit Executive from cooperating with any such agency in its investigation. Executive waives any right Executive may have to benefit in any manner from any relief (whether monetary or otherwise) arising out of any Proceeding.</w:t>
      </w:r>
    </w:p>
    <w:p>
      <w:pPr>
        <w:spacing w:after="0" w:line="198" w:lineRule="exact"/>
        <w:rPr>
          <w:rFonts w:ascii="Times New Roman" w:cs="Times New Roman" w:eastAsia="Times New Roman" w:hAnsi="Times New Roman"/>
          <w:sz w:val="21"/>
          <w:szCs w:val="21"/>
          <w:color w:val="auto"/>
        </w:rPr>
      </w:pPr>
    </w:p>
    <w:p>
      <w:pPr>
        <w:jc w:val="both"/>
        <w:ind w:firstLine="1245"/>
        <w:spacing w:after="0" w:line="254" w:lineRule="auto"/>
        <w:tabs>
          <w:tab w:leader="none" w:pos="18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Proceeding within the scope of this Section 1 is brought by any government agency, putative class representative or other third Party to vindicate any alleged rights of Executive, (i) Executive shall, except to the extent required or compelled by law, legal process or subpoena, refrain from participating, testifying or producing documents therein, and (ii) all damages, inclusive of attorneys’ fees, if any, required to be paid to Executive by the Company as a consequence of such Proceeding shall be repaid to the Company by Executive within ten (10) calendar days of Executive’s receipt thereof.</w:t>
      </w:r>
    </w:p>
    <w:p>
      <w:pPr>
        <w:spacing w:after="0" w:line="196" w:lineRule="exact"/>
        <w:rPr>
          <w:rFonts w:ascii="Times New Roman" w:cs="Times New Roman" w:eastAsia="Times New Roman" w:hAnsi="Times New Roman"/>
          <w:sz w:val="21"/>
          <w:szCs w:val="21"/>
          <w:color w:val="auto"/>
        </w:rPr>
      </w:pPr>
    </w:p>
    <w:p>
      <w:pPr>
        <w:jc w:val="both"/>
        <w:ind w:firstLine="1245"/>
        <w:spacing w:after="0" w:line="254" w:lineRule="auto"/>
        <w:tabs>
          <w:tab w:leader="none" w:pos="185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amounts and other benefits set forth in Sections 12(b)(A)-(D) of the Employment Agreement, to which Executive would not otherwise be entitled, are being paid to Executive in return for Executive’s execution and non-revocation of this Release and Executive’s agreements and covenants contained in the Employment Agreement. Executive acknowledges and agrees that the release of claims set forth in this Section 1 is not to be construed in any way as an admission of any liability whatsoever by any Company Released Party, any such liability being expressly denied.</w:t>
      </w:r>
    </w:p>
    <w:p>
      <w:pPr>
        <w:spacing w:after="0" w:line="196" w:lineRule="exact"/>
        <w:rPr>
          <w:rFonts w:ascii="Times New Roman" w:cs="Times New Roman" w:eastAsia="Times New Roman" w:hAnsi="Times New Roman"/>
          <w:sz w:val="21"/>
          <w:szCs w:val="21"/>
          <w:color w:val="auto"/>
        </w:rPr>
      </w:pPr>
    </w:p>
    <w:p>
      <w:pPr>
        <w:jc w:val="both"/>
        <w:ind w:firstLine="1245"/>
        <w:spacing w:after="0" w:line="251" w:lineRule="auto"/>
        <w:tabs>
          <w:tab w:leader="none" w:pos="18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release of claims set forth in this Section 1 applies to any relief in respect of any Released Claim of any kind, no matter how called, including wages, back pay, front pay, compensatory damages, liquidated damages, punitive damages, damages for pain or suffering, costs, and attorney’s fees and expenses. Executive specifically acknowledges that Executive’s acceptance of the terms of the release of claims set forth in this Section 1 is, among other things, a specific waiver of Executive’s rights, claims and causes of action under Title VII, ADEA and any state or local law or regulation in respect of discrimination of any kind;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nothing herein shall be deemed, nor does anything contained herein purport, to be a waiver of any right or claim or cause of action which by law Executive is not permitted to waive.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w:t>
      </w:r>
    </w:p>
    <w:p>
      <w:pPr>
        <w:sectPr>
          <w:pgSz w:w="11900" w:h="16838" w:orient="portrait"/>
          <w:cols w:equalWidth="0" w:num="1">
            <w:col w:w="11240"/>
          </w:cols>
          <w:pgMar w:left="320" w:top="1367" w:right="339" w:bottom="1440" w:gutter="0" w:footer="0" w:header="0"/>
        </w:sectPr>
      </w:pPr>
    </w:p>
    <w:bookmarkStart w:id="37" w:name="page38"/>
    <w:bookmarkEnd w:id="37"/>
    <w:p>
      <w:pPr>
        <w:spacing w:after="0" w:line="160" w:lineRule="exact"/>
        <w:rPr>
          <w:sz w:val="20"/>
          <w:szCs w:val="20"/>
          <w:color w:val="auto"/>
        </w:rPr>
      </w:pPr>
    </w:p>
    <w:p>
      <w:pPr>
        <w:ind w:left="1240" w:hanging="616"/>
        <w:spacing w:after="0"/>
        <w:tabs>
          <w:tab w:leader="none" w:pos="12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Execution of Release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BY EXECUTIVE’S SIGNATURE BELOW, EXECUTIVE ACKNOWLEDGES THAT:</w:t>
      </w:r>
    </w:p>
    <w:p>
      <w:pPr>
        <w:spacing w:after="0" w:line="237" w:lineRule="exact"/>
        <w:rPr>
          <w:sz w:val="20"/>
          <w:szCs w:val="20"/>
          <w:color w:val="auto"/>
        </w:rPr>
      </w:pPr>
    </w:p>
    <w:p>
      <w:pPr>
        <w:ind w:firstLine="1245"/>
        <w:spacing w:after="0" w:line="285" w:lineRule="auto"/>
        <w:tabs>
          <w:tab w:leader="none" w:pos="186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HAS RECEIVED A COPY OF THIS RELEASE AND WAS OFFERED A PERIOD OF TWENTY-ONE (21) DAYS TO REVIEW AND CONSIDER IT;</w:t>
      </w:r>
    </w:p>
    <w:p>
      <w:pPr>
        <w:spacing w:after="0" w:line="163" w:lineRule="exact"/>
        <w:rPr>
          <w:rFonts w:ascii="Times New Roman" w:cs="Times New Roman" w:eastAsia="Times New Roman" w:hAnsi="Times New Roman"/>
          <w:sz w:val="21"/>
          <w:szCs w:val="21"/>
          <w:color w:val="auto"/>
        </w:rPr>
      </w:pPr>
    </w:p>
    <w:p>
      <w:pPr>
        <w:ind w:firstLine="1245"/>
        <w:spacing w:after="0" w:line="298" w:lineRule="auto"/>
        <w:tabs>
          <w:tab w:leader="none" w:pos="185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SIGNS THIS RELEASE PRIOR TO THE EXPIRATION OF TWENTY-ONE (21) CALENDAR DAYS, EXECUTIVE KNOWINGLY AND VOLUNTARILY WAIVES AND GIVES UP THIS RIGHT OF REVIEW;</w:t>
      </w:r>
    </w:p>
    <w:p>
      <w:pPr>
        <w:spacing w:after="0" w:line="153" w:lineRule="exact"/>
        <w:rPr>
          <w:rFonts w:ascii="Times New Roman" w:cs="Times New Roman" w:eastAsia="Times New Roman" w:hAnsi="Times New Roman"/>
          <w:sz w:val="20"/>
          <w:szCs w:val="20"/>
          <w:color w:val="auto"/>
        </w:rPr>
      </w:pPr>
    </w:p>
    <w:p>
      <w:pPr>
        <w:jc w:val="both"/>
        <w:ind w:firstLine="1245"/>
        <w:spacing w:after="0" w:line="258" w:lineRule="auto"/>
        <w:tabs>
          <w:tab w:leader="none" w:pos="186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HAS THE RIGHT TO REVOKE THIS RELEASE FOR A PERIOD OF SEVEN (7) CALENDAR DAYS AFTER EXECUTIVE SIGNS IT BY MAILING OR DELIVERING A WRITTEN NOTICE OF REVOCATION TO THE COMPANY NO LATER THAN THE CLOSE OF BUSINESS ON THE SEVENTH CALENDAR DAY AFTER THE DAY ON WHICH EXECUTIVE SIGNED THIS RELEASE;</w:t>
      </w:r>
    </w:p>
    <w:p>
      <w:pPr>
        <w:spacing w:after="0" w:line="190" w:lineRule="exact"/>
        <w:rPr>
          <w:rFonts w:ascii="Times New Roman" w:cs="Times New Roman" w:eastAsia="Times New Roman" w:hAnsi="Times New Roman"/>
          <w:sz w:val="21"/>
          <w:szCs w:val="21"/>
          <w:color w:val="auto"/>
        </w:rPr>
      </w:pPr>
    </w:p>
    <w:p>
      <w:pPr>
        <w:ind w:firstLine="1245"/>
        <w:spacing w:after="0" w:line="273" w:lineRule="auto"/>
        <w:tabs>
          <w:tab w:leader="none" w:pos="185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RELEASE SHALL NOT BECOME EFFECTIVE OR ENFORCEABLE UNTIL THE FOREGOING SEVEN DAY REVOCATION PERIOD HAS EXPIRED WITHOUT THE RELEASE HAVING BEEN REVOKED;</w:t>
      </w:r>
    </w:p>
    <w:p>
      <w:pPr>
        <w:spacing w:after="0" w:line="175" w:lineRule="exact"/>
        <w:rPr>
          <w:rFonts w:ascii="Times New Roman" w:cs="Times New Roman" w:eastAsia="Times New Roman" w:hAnsi="Times New Roman"/>
          <w:sz w:val="21"/>
          <w:szCs w:val="21"/>
          <w:color w:val="auto"/>
        </w:rPr>
      </w:pPr>
    </w:p>
    <w:p>
      <w:pPr>
        <w:jc w:val="both"/>
        <w:ind w:firstLine="1245"/>
        <w:spacing w:after="0" w:line="265" w:lineRule="auto"/>
        <w:tabs>
          <w:tab w:leader="none" w:pos="186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RELEASE WILL BE FINAL AND BINDING AFTER THE EXPIRATION OF THE FOREGOING REVOCATION PERIOD REFERRED TO IN SECTION 2(c), AND FOLLOWING SUCH REVOCATION PERIOD EXECUTIVE AGREES NOT TO CHALLENGE ITS ENFORCEABILITY;</w:t>
      </w:r>
    </w:p>
    <w:p>
      <w:pPr>
        <w:spacing w:after="0" w:line="183" w:lineRule="exact"/>
        <w:rPr>
          <w:rFonts w:ascii="Times New Roman" w:cs="Times New Roman" w:eastAsia="Times New Roman" w:hAnsi="Times New Roman"/>
          <w:sz w:val="21"/>
          <w:szCs w:val="21"/>
          <w:color w:val="auto"/>
        </w:rPr>
      </w:pPr>
    </w:p>
    <w:p>
      <w:pPr>
        <w:jc w:val="both"/>
        <w:ind w:firstLine="1245"/>
        <w:spacing w:after="0" w:line="258" w:lineRule="auto"/>
        <w:tabs>
          <w:tab w:leader="none" w:pos="1863"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IS AWARE OF EXECUTIVE’S RIGHT TO CONSULT AN ATTORNEY, HAS BEEN ADVISED IN WRITING TO CONSULT WITH AN ATTORNEY, AND HAS HAD THE OPPORTUNITY TO CONSULT WITH AN ATTORNEY, IF DESIRED, PRIOR TO SIGNING THIS RELEASE;</w:t>
      </w:r>
    </w:p>
    <w:p>
      <w:pPr>
        <w:spacing w:after="0" w:line="191" w:lineRule="exact"/>
        <w:rPr>
          <w:rFonts w:ascii="Times New Roman" w:cs="Times New Roman" w:eastAsia="Times New Roman" w:hAnsi="Times New Roman"/>
          <w:sz w:val="21"/>
          <w:szCs w:val="21"/>
          <w:color w:val="auto"/>
        </w:rPr>
      </w:pPr>
    </w:p>
    <w:p>
      <w:pPr>
        <w:ind w:firstLine="1245"/>
        <w:spacing w:after="0" w:line="285" w:lineRule="auto"/>
        <w:tabs>
          <w:tab w:leader="none" w:pos="185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PROMISE OR INDUCEMENT FOR THIS RELEASE HAS BEEN MADE EXCEPT AS SET FORTH IN THE EMPLOYMENT AGREEMENT AND THIS RELEASE; AND</w:t>
      </w:r>
    </w:p>
    <w:p>
      <w:pPr>
        <w:spacing w:after="0" w:line="163" w:lineRule="exact"/>
        <w:rPr>
          <w:rFonts w:ascii="Times New Roman" w:cs="Times New Roman" w:eastAsia="Times New Roman" w:hAnsi="Times New Roman"/>
          <w:sz w:val="21"/>
          <w:szCs w:val="21"/>
          <w:color w:val="auto"/>
        </w:rPr>
      </w:pPr>
    </w:p>
    <w:p>
      <w:pPr>
        <w:jc w:val="both"/>
        <w:ind w:firstLine="1245"/>
        <w:spacing w:after="0" w:line="253" w:lineRule="auto"/>
        <w:tabs>
          <w:tab w:leader="none" w:pos="185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HAS CAREFULLY READ THIS RELEASE, ACKNOWLEDGES THAT EXECUTIVE HAS NOT RELIED ON ANY REPRESENTATION OR STATEMENT, WRITTEN OR ORAL, NOT SET FORTH IN THIS DOCUMENT OR THE EMPLOYMENT AGREEMENT, AND WARRANTS AND REPRESENTS THAT EXECUTIVE IS SIGNING THIS RELEASE KNOWINGLY AND VOLUNTARILY.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A-3</w:t>
      </w:r>
    </w:p>
    <w:p>
      <w:pPr>
        <w:sectPr>
          <w:pgSz w:w="11900" w:h="16838" w:orient="portrait"/>
          <w:cols w:equalWidth="0" w:num="1">
            <w:col w:w="11240"/>
          </w:cols>
          <w:pgMar w:left="320" w:top="1440" w:right="339" w:bottom="1440" w:gutter="0" w:footer="0" w:header="0"/>
        </w:sectPr>
      </w:pPr>
    </w:p>
    <w:bookmarkStart w:id="38" w:name="page39"/>
    <w:bookmarkEnd w:id="38"/>
    <w:p>
      <w:pPr>
        <w:ind w:left="1240" w:hanging="616"/>
        <w:spacing w:after="0"/>
        <w:tabs>
          <w:tab w:leader="none" w:pos="12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21"/>
        <w:spacing w:after="0" w:line="254" w:lineRule="auto"/>
        <w:rPr>
          <w:sz w:val="20"/>
          <w:szCs w:val="20"/>
          <w:color w:val="auto"/>
        </w:rPr>
      </w:pPr>
      <w:r>
        <w:rPr>
          <w:rFonts w:ascii="Times New Roman" w:cs="Times New Roman" w:eastAsia="Times New Roman" w:hAnsi="Times New Roman"/>
          <w:sz w:val="21"/>
          <w:szCs w:val="21"/>
          <w:color w:val="auto"/>
        </w:rPr>
        <w:t>The provisions of the Employment Agreement relating to representations, successors, notices, amendments/waivers, headings, severability, choice of law, references, arbitration and counterparts/faxed signatures, shall apply to this Release as if set fully forth in full herein, with references in such Sections to “this Agreement” being deemed, as appropriate, to be references to this Release. For avoidance of doubt, this Section 3 has been included in this Release solely for the purpose of avoiding the need to repeat herein the full text of the referenced provisions of the Employment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A-4</w:t>
      </w:r>
    </w:p>
    <w:p>
      <w:pPr>
        <w:sectPr>
          <w:pgSz w:w="11900" w:h="16838" w:orient="portrait"/>
          <w:cols w:equalWidth="0" w:num="1">
            <w:col w:w="11240"/>
          </w:cols>
          <w:pgMar w:left="320" w:top="136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color w:val="auto"/>
        </w:rPr>
        <w:t>IN WITNESS WHEREOF, Executive has acknowledged, executed and delivered this Release on the date indicated below.</w:t>
      </w:r>
    </w:p>
    <w:p>
      <w:pPr>
        <w:spacing w:after="0" w:line="200" w:lineRule="exact"/>
        <w:rPr>
          <w:sz w:val="20"/>
          <w:szCs w:val="20"/>
          <w:color w:val="auto"/>
        </w:rPr>
      </w:pPr>
    </w:p>
    <w:p>
      <w:pPr>
        <w:spacing w:after="0" w:line="34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Name: Jamal Haughton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-151765</wp:posOffset>
            </wp:positionV>
            <wp:extent cx="42551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513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-151765</wp:posOffset>
            </wp:positionV>
            <wp:extent cx="4255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5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A-5</w:t>
      </w:r>
    </w:p>
    <w:sectPr>
      <w:pgSz w:w="11900" w:h="16838" w:orient="portrait"/>
      <w:cols w:equalWidth="0" w:num="1">
        <w:col w:w="10140"/>
      </w:cols>
      <w:pgMar w:left="940" w:top="136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decimal"/>
      <w:start w:val="1"/>
    </w:lvl>
    <w:lvl w:ilvl="1">
      <w:lvlJc w:val="left"/>
      <w:lvlText w:val="(%2)"/>
      <w:numFmt w:val="lowerLetter"/>
      <w:start w:val="1"/>
    </w:lvl>
  </w:abstractNum>
  <w:abstractNum w:abstractNumId="2">
    <w:nsid w:val="2901D82"/>
    <w:multiLevelType w:val="hybridMultilevel"/>
    <w:lvl w:ilvl="0">
      <w:lvlJc w:val="left"/>
      <w:lvlText w:val="(%1)"/>
      <w:numFmt w:val="lowerLetter"/>
      <w:start w:val="7"/>
    </w:lvl>
    <w:lvl w:ilvl="1">
      <w:lvlJc w:val="left"/>
      <w:lvlText w:val="(%2)"/>
      <w:numFmt w:val="lowerRoman"/>
      <w:start w:val="1"/>
    </w:lvl>
  </w:abstractNum>
  <w:abstractNum w:abstractNumId="3">
    <w:nsid w:val="3A95F874"/>
    <w:multiLevelType w:val="hybridMultilevel"/>
    <w:lvl w:ilvl="0">
      <w:lvlJc w:val="left"/>
      <w:lvlText w:val="(%1)"/>
      <w:numFmt w:val="lowerRoman"/>
      <w:start w:val="6"/>
    </w:lvl>
  </w:abstractNum>
  <w:abstractNum w:abstractNumId="4">
    <w:nsid w:val="8138641"/>
    <w:multiLevelType w:val="hybridMultilevel"/>
    <w:lvl w:ilvl="0">
      <w:lvlJc w:val="left"/>
      <w:lvlText w:val="(%1)"/>
      <w:numFmt w:val="lowerLetter"/>
      <w:start w:val="8"/>
    </w:lvl>
    <w:lvl w:ilvl="1">
      <w:lvlJc w:val="left"/>
      <w:lvlText w:val="(%2)"/>
      <w:numFmt w:val="lowerLetter"/>
      <w:start w:val="9"/>
    </w:lvl>
  </w:abstractNum>
  <w:abstractNum w:abstractNumId="5">
    <w:nsid w:val="1E7FF521"/>
    <w:multiLevelType w:val="hybridMultilevel"/>
    <w:lvl w:ilvl="0">
      <w:lvlJc w:val="left"/>
      <w:lvlText w:val="(%1)"/>
      <w:numFmt w:val="lowerRoman"/>
      <w:start w:val="2"/>
    </w:lvl>
  </w:abstractNum>
  <w:abstractNum w:abstractNumId="6">
    <w:nsid w:val="7C3DBD3D"/>
    <w:multiLevelType w:val="hybridMultilevel"/>
    <w:lvl w:ilvl="0">
      <w:lvlJc w:val="left"/>
      <w:lvlText w:val="(%1)"/>
      <w:numFmt w:val="lowerLetter"/>
      <w:start w:val="9"/>
    </w:lvl>
  </w:abstractNum>
  <w:abstractNum w:abstractNumId="7">
    <w:nsid w:val="737B8DDC"/>
    <w:multiLevelType w:val="hybridMultilevel"/>
    <w:lvl w:ilvl="0">
      <w:lvlJc w:val="left"/>
      <w:lvlText w:val="(%1)"/>
      <w:numFmt w:val="lowerLetter"/>
      <w:start w:val="19"/>
    </w:lvl>
  </w:abstractNum>
  <w:abstractNum w:abstractNumId="8">
    <w:nsid w:val="6CEAF087"/>
    <w:multiLevelType w:val="hybridMultilevel"/>
    <w:lvl w:ilvl="0">
      <w:lvlJc w:val="left"/>
      <w:lvlText w:val="%1"/>
      <w:numFmt w:val="decimal"/>
      <w:start w:val="1"/>
    </w:lvl>
    <w:lvl w:ilvl="1">
      <w:lvlJc w:val="left"/>
      <w:lvlText w:val="(%2)"/>
      <w:numFmt w:val="lowerLetter"/>
      <w:start w:val="27"/>
    </w:lvl>
  </w:abstractNum>
  <w:abstractNum w:abstractNumId="9">
    <w:nsid w:val="22221A70"/>
    <w:multiLevelType w:val="hybridMultilevel"/>
    <w:lvl w:ilvl="0">
      <w:lvlJc w:val="left"/>
      <w:lvlText w:val="%1."/>
      <w:numFmt w:val="decimal"/>
      <w:start w:val="2"/>
    </w:lvl>
    <w:lvl w:ilvl="1">
      <w:lvlJc w:val="left"/>
      <w:lvlText w:val="%2"/>
      <w:numFmt w:val="lowerLetter"/>
      <w:start w:val="1"/>
    </w:lvl>
  </w:abstractNum>
  <w:abstractNum w:abstractNumId="10">
    <w:nsid w:val="4516DDE9"/>
    <w:multiLevelType w:val="hybridMultilevel"/>
    <w:lvl w:ilvl="0">
      <w:lvlJc w:val="left"/>
      <w:lvlText w:val="%1."/>
      <w:numFmt w:val="decimal"/>
      <w:start w:val="3"/>
    </w:lvl>
    <w:lvl w:ilvl="1">
      <w:lvlJc w:val="left"/>
      <w:lvlText w:val="(%2)"/>
      <w:numFmt w:val="lowerLetter"/>
      <w:start w:val="1"/>
    </w:lvl>
  </w:abstractNum>
  <w:abstractNum w:abstractNumId="11">
    <w:nsid w:val="3006C83E"/>
    <w:multiLevelType w:val="hybridMultilevel"/>
    <w:lvl w:ilvl="0">
      <w:lvlJc w:val="left"/>
      <w:lvlText w:val="%1"/>
      <w:numFmt w:val="lowerRoman"/>
      <w:start w:val="1"/>
    </w:lvl>
    <w:lvl w:ilvl="1">
      <w:lvlJc w:val="left"/>
      <w:lvlText w:val="%2."/>
      <w:numFmt w:val="decimal"/>
      <w:start w:val="6"/>
    </w:lvl>
  </w:abstractNum>
  <w:abstractNum w:abstractNumId="12">
    <w:nsid w:val="614FD4A1"/>
    <w:multiLevelType w:val="hybridMultilevel"/>
    <w:lvl w:ilvl="0">
      <w:lvlJc w:val="left"/>
      <w:lvlText w:val="(%1)"/>
      <w:numFmt w:val="lowerRoman"/>
      <w:start w:val="2"/>
    </w:lvl>
    <w:lvl w:ilvl="1">
      <w:lvlJc w:val="left"/>
      <w:lvlText w:val="%2."/>
      <w:numFmt w:val="decimal"/>
      <w:start w:val="8"/>
    </w:lvl>
  </w:abstractNum>
  <w:abstractNum w:abstractNumId="13">
    <w:nsid w:val="419AC24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4">
    <w:nsid w:val="5577F8E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15">
    <w:nsid w:val="440BADFC"/>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6">
    <w:nsid w:val="5072367"/>
    <w:multiLevelType w:val="hybridMultilevel"/>
    <w:lvl w:ilvl="0">
      <w:lvlJc w:val="left"/>
      <w:lvlText w:val="(%1)"/>
      <w:numFmt w:val="lowerRoman"/>
      <w:start w:val="6"/>
    </w:lvl>
    <w:lvl w:ilvl="1">
      <w:lvlJc w:val="left"/>
      <w:lvlText w:val="(%2)"/>
      <w:numFmt w:val="lowerLetter"/>
      <w:start w:val="3"/>
    </w:lvl>
    <w:lvl w:ilvl="2">
      <w:lvlJc w:val="left"/>
      <w:lvlText w:val="%3"/>
      <w:numFmt w:val="lowerRoman"/>
      <w:start w:val="1"/>
    </w:lvl>
  </w:abstractNum>
  <w:abstractNum w:abstractNumId="17">
    <w:nsid w:val="3804823E"/>
    <w:multiLevelType w:val="hybridMultilevel"/>
    <w:lvl w:ilvl="0">
      <w:lvlJc w:val="left"/>
      <w:lvlText w:val="%1."/>
      <w:numFmt w:val="decimal"/>
      <w:start w:val="12"/>
    </w:lvl>
    <w:lvl w:ilvl="1">
      <w:lvlJc w:val="left"/>
      <w:lvlText w:val="(%2)"/>
      <w:numFmt w:val="lowerLetter"/>
      <w:start w:val="1"/>
    </w:lvl>
  </w:abstractNum>
  <w:abstractNum w:abstractNumId="18">
    <w:nsid w:val="77465F01"/>
    <w:multiLevelType w:val="hybridMultilevel"/>
    <w:lvl w:ilvl="0">
      <w:lvlJc w:val="left"/>
      <w:lvlText w:val="(%1)"/>
      <w:numFmt w:val="upperLetter"/>
      <w:start w:val="1"/>
    </w:lvl>
  </w:abstractNum>
  <w:abstractNum w:abstractNumId="19">
    <w:nsid w:val="7724C67E"/>
    <w:multiLevelType w:val="hybridMultilevel"/>
    <w:lvl w:ilvl="0">
      <w:lvlJc w:val="left"/>
      <w:lvlText w:val="(%1)"/>
      <w:numFmt w:val="upperLetter"/>
      <w:start w:val="2"/>
    </w:lvl>
  </w:abstractNum>
  <w:abstractNum w:abstractNumId="20">
    <w:nsid w:val="5C482A97"/>
    <w:multiLevelType w:val="hybridMultilevel"/>
    <w:lvl w:ilvl="0">
      <w:lvlJc w:val="left"/>
      <w:lvlText w:val="(%1)"/>
      <w:numFmt w:val="lowerLetter"/>
      <w:start w:val="3"/>
    </w:lvl>
  </w:abstractNum>
  <w:abstractNum w:abstractNumId="21">
    <w:nsid w:val="2463B9EA"/>
    <w:multiLevelType w:val="hybridMultilevel"/>
    <w:lvl w:ilvl="0">
      <w:lvlJc w:val="left"/>
      <w:lvlText w:val="%1"/>
      <w:numFmt w:val="decimal"/>
      <w:start w:val="1"/>
    </w:lvl>
    <w:lvl w:ilvl="1">
      <w:lvlJc w:val="left"/>
      <w:lvlText w:val="(%2)"/>
      <w:numFmt w:val="lowerLetter"/>
      <w:start w:val="4"/>
    </w:lvl>
  </w:abstractNum>
  <w:abstractNum w:abstractNumId="22">
    <w:nsid w:val="5E884ADC"/>
    <w:multiLevelType w:val="hybridMultilevel"/>
    <w:lvl w:ilvl="0">
      <w:lvlJc w:val="left"/>
      <w:lvlText w:val="(%1)"/>
      <w:numFmt w:val="decimal"/>
      <w:start w:val="60"/>
    </w:lvl>
    <w:lvl w:ilvl="1">
      <w:lvlJc w:val="left"/>
      <w:lvlText w:val="%2"/>
      <w:numFmt w:val="lowerLetter"/>
      <w:start w:val="1"/>
    </w:lvl>
  </w:abstractNum>
  <w:abstractNum w:abstractNumId="23">
    <w:nsid w:val="51EAD36B"/>
    <w:multiLevelType w:val="hybridMultilevel"/>
    <w:lvl w:ilvl="0">
      <w:lvlJc w:val="left"/>
      <w:lvlText w:val="%1"/>
      <w:numFmt w:val="decimal"/>
      <w:start w:val="1"/>
    </w:lvl>
    <w:lvl w:ilvl="1">
      <w:lvlJc w:val="left"/>
      <w:lvlText w:val="(%2)"/>
      <w:numFmt w:val="lowerLetter"/>
      <w:start w:val="9"/>
    </w:lvl>
  </w:abstractNum>
  <w:abstractNum w:abstractNumId="24">
    <w:nsid w:val="2D517796"/>
    <w:multiLevelType w:val="hybridMultilevel"/>
    <w:lvl w:ilvl="0">
      <w:lvlJc w:val="left"/>
      <w:lvlText w:val="%1."/>
      <w:numFmt w:val="decimal"/>
      <w:start w:val="13"/>
    </w:lvl>
    <w:lvl w:ilvl="1">
      <w:lvlJc w:val="left"/>
      <w:lvlText w:val="(%2)"/>
      <w:numFmt w:val="lowerLetter"/>
      <w:start w:val="1"/>
    </w:lvl>
  </w:abstractNum>
  <w:abstractNum w:abstractNumId="25">
    <w:nsid w:val="580BD78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6">
    <w:nsid w:val="153EA438"/>
    <w:multiLevelType w:val="hybridMultilevel"/>
    <w:lvl w:ilvl="0">
      <w:lvlJc w:val="left"/>
      <w:lvlText w:val="(%1)"/>
      <w:numFmt w:val="lowerLetter"/>
      <w:start w:val="61"/>
    </w:lvl>
    <w:lvl w:ilvl="1">
      <w:lvlJc w:val="left"/>
      <w:lvlText w:val="%2."/>
      <w:numFmt w:val="decimal"/>
      <w:start w:val="13"/>
    </w:lvl>
    <w:lvl w:ilvl="2">
      <w:lvlJc w:val="left"/>
      <w:lvlText w:val="(%3)"/>
      <w:numFmt w:val="lowerLetter"/>
      <w:start w:val="5"/>
    </w:lvl>
  </w:abstractNum>
  <w:abstractNum w:abstractNumId="27">
    <w:nsid w:val="385558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8">
    <w:nsid w:val="70A64E2A"/>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9">
    <w:nsid w:val="6A2342EC"/>
    <w:multiLevelType w:val="hybridMultilevel"/>
    <w:lvl w:ilvl="0">
      <w:lvlJc w:val="left"/>
      <w:lvlText w:val="(%1)"/>
      <w:numFmt w:val="upperLetter"/>
      <w:start w:val="1"/>
    </w:lvl>
  </w:abstractNum>
  <w:abstractNum w:abstractNumId="30">
    <w:nsid w:val="2A487CB0"/>
    <w:multiLevelType w:val="hybridMultilevel"/>
    <w:lvl w:ilvl="0">
      <w:lvlJc w:val="left"/>
      <w:lvlText w:val="(%1)"/>
      <w:numFmt w:val="upperLetter"/>
      <w:start w:val="6"/>
    </w:lvl>
  </w:abstractNum>
  <w:abstractNum w:abstractNumId="31">
    <w:nsid w:val="1D4ED43B"/>
    <w:multiLevelType w:val="hybridMultilevel"/>
    <w:lvl w:ilvl="0">
      <w:lvlJc w:val="left"/>
      <w:lvlText w:val="(%1)"/>
      <w:numFmt w:val="lowerRoman"/>
      <w:start w:val="3"/>
    </w:lvl>
  </w:abstractNum>
  <w:abstractNum w:abstractNumId="32">
    <w:nsid w:val="725A06FB"/>
    <w:multiLevelType w:val="hybridMultilevel"/>
    <w:lvl w:ilvl="0">
      <w:lvlJc w:val="left"/>
      <w:lvlText w:val="%1."/>
      <w:numFmt w:val="decimal"/>
      <w:start w:val="15"/>
    </w:lvl>
    <w:lvl w:ilvl="1">
      <w:lvlJc w:val="left"/>
      <w:lvlText w:val="(%2)"/>
      <w:numFmt w:val="lowerLetter"/>
      <w:start w:val="1"/>
    </w:lvl>
  </w:abstractNum>
  <w:abstractNum w:abstractNumId="33">
    <w:nsid w:val="2CD89A32"/>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9"/>
    </w:lvl>
  </w:abstractNum>
  <w:abstractNum w:abstractNumId="34">
    <w:nsid w:val="57E4CCAF"/>
    <w:multiLevelType w:val="hybridMultilevel"/>
    <w:lvl w:ilvl="0">
      <w:lvlJc w:val="left"/>
      <w:lvlText w:val="(%1)"/>
      <w:numFmt w:val="lowerRoman"/>
      <w:start w:val="2"/>
    </w:lvl>
  </w:abstractNum>
  <w:abstractNum w:abstractNumId="35">
    <w:nsid w:val="7A6D8D3C"/>
    <w:multiLevelType w:val="hybridMultilevel"/>
    <w:lvl w:ilvl="0">
      <w:lvlJc w:val="left"/>
      <w:lvlText w:val="(%1)"/>
      <w:numFmt w:val="lowerLetter"/>
      <w:start w:val="3"/>
    </w:lvl>
  </w:abstractNum>
  <w:abstractNum w:abstractNumId="36">
    <w:nsid w:val="4B588F54"/>
    <w:multiLevelType w:val="hybridMultilevel"/>
    <w:lvl w:ilvl="0">
      <w:lvlJc w:val="left"/>
      <w:lvlText w:val="(%1)"/>
      <w:numFmt w:val="lowerLetter"/>
      <w:start w:val="6"/>
    </w:lvl>
  </w:abstractNum>
  <w:abstractNum w:abstractNumId="37">
    <w:nsid w:val="542289EC"/>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38">
    <w:nsid w:val="6DE91B18"/>
    <w:multiLevelType w:val="hybridMultilevel"/>
    <w:lvl w:ilvl="0">
      <w:lvlJc w:val="left"/>
      <w:lvlText w:val="%1"/>
      <w:numFmt w:val="decimal"/>
      <w:start w:val="1"/>
    </w:lvl>
    <w:lvl w:ilvl="1">
      <w:lvlJc w:val="left"/>
      <w:lvlText w:val="(%2)"/>
      <w:numFmt w:val="lowerLetter"/>
      <w:start w:val="2"/>
    </w:lvl>
  </w:abstractNum>
  <w:abstractNum w:abstractNumId="39">
    <w:nsid w:val="38437FDB"/>
    <w:multiLevelType w:val="hybridMultilevel"/>
    <w:lvl w:ilvl="0">
      <w:lvlJc w:val="left"/>
      <w:lvlText w:val="%1."/>
      <w:numFmt w:val="decimal"/>
      <w:start w:val="18"/>
    </w:lvl>
    <w:lvl w:ilvl="1">
      <w:lvlJc w:val="left"/>
      <w:lvlText w:val="%2"/>
      <w:numFmt w:val="lowerLetter"/>
      <w:start w:val="1"/>
    </w:lvl>
  </w:abstractNum>
  <w:abstractNum w:abstractNumId="40">
    <w:nsid w:val="7644A45C"/>
    <w:multiLevelType w:val="hybridMultilevel"/>
    <w:lvl w:ilvl="0">
      <w:lvlJc w:val="left"/>
      <w:lvlText w:val="%1."/>
      <w:numFmt w:val="decimal"/>
      <w:start w:val="22"/>
    </w:lvl>
  </w:abstractNum>
  <w:abstractNum w:abstractNumId="41">
    <w:nsid w:val="32FFF902"/>
    <w:multiLevelType w:val="hybridMultilevel"/>
    <w:lvl w:ilvl="0">
      <w:lvlJc w:val="left"/>
      <w:lvlText w:val="%1."/>
      <w:numFmt w:val="decimal"/>
      <w:start w:val="22"/>
    </w:lvl>
  </w:abstractNum>
  <w:abstractNum w:abstractNumId="42">
    <w:nsid w:val="684A481A"/>
    <w:multiLevelType w:val="hybridMultilevel"/>
    <w:lvl w:ilvl="0">
      <w:lvlJc w:val="left"/>
      <w:lvlText w:val="%1."/>
      <w:numFmt w:val="decimal"/>
      <w:start w:val="23"/>
    </w:lvl>
  </w:abstractNum>
  <w:abstractNum w:abstractNumId="43">
    <w:nsid w:val="579478FE"/>
    <w:multiLevelType w:val="hybridMultilevel"/>
    <w:lvl w:ilvl="0">
      <w:lvlJc w:val="left"/>
      <w:lvlText w:val="%1."/>
      <w:numFmt w:val="decimal"/>
      <w:start w:val="25"/>
    </w:lvl>
  </w:abstractNum>
  <w:abstractNum w:abstractNumId="44">
    <w:nsid w:val="749ABB43"/>
    <w:multiLevelType w:val="hybridMultilevel"/>
    <w:lvl w:ilvl="0">
      <w:lvlJc w:val="left"/>
      <w:lvlText w:val="%1."/>
      <w:numFmt w:val="decimal"/>
      <w:start w:val="29"/>
    </w:lvl>
    <w:lvl w:ilvl="1">
      <w:lvlJc w:val="left"/>
      <w:lvlText w:val="(%2)"/>
      <w:numFmt w:val="lowerLetter"/>
      <w:start w:val="1"/>
    </w:lvl>
  </w:abstractNum>
  <w:abstractNum w:abstractNumId="45">
    <w:nsid w:val="3DC240FB"/>
    <w:multiLevelType w:val="hybridMultilevel"/>
    <w:lvl w:ilvl="0">
      <w:lvlJc w:val="left"/>
      <w:lvlText w:val="(%1)"/>
      <w:numFmt w:val="lowerRoman"/>
      <w:start w:val="2"/>
    </w:lvl>
  </w:abstractNum>
  <w:abstractNum w:abstractNumId="46">
    <w:nsid w:val="1BA026FA"/>
    <w:multiLevelType w:val="hybridMultilevel"/>
    <w:lvl w:ilvl="0">
      <w:lvlJc w:val="left"/>
      <w:lvlText w:val="%1."/>
      <w:numFmt w:val="upperLetter"/>
      <w:start w:val="1"/>
    </w:lvl>
  </w:abstractNum>
  <w:abstractNum w:abstractNumId="47">
    <w:nsid w:val="79A1DEAA"/>
    <w:multiLevelType w:val="hybridMultilevel"/>
    <w:lvl w:ilvl="0">
      <w:lvlJc w:val="left"/>
      <w:lvlText w:val="%1."/>
      <w:numFmt w:val="upperLetter"/>
      <w:start w:val="4"/>
    </w:lvl>
  </w:abstractNum>
  <w:abstractNum w:abstractNumId="48">
    <w:nsid w:val="75C6C33A"/>
    <w:multiLevelType w:val="hybridMultilevel"/>
    <w:lvl w:ilvl="0">
      <w:lvlJc w:val="left"/>
      <w:lvlText w:val="%1."/>
      <w:numFmt w:val="decimal"/>
      <w:start w:val="1"/>
    </w:lvl>
    <w:lvl w:ilvl="1">
      <w:lvlJc w:val="left"/>
      <w:lvlText w:val="(%2)"/>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2"/>
    </w:lvl>
  </w:abstractNum>
  <w:abstractNum w:abstractNumId="51">
    <w:nsid w:val="520EEDD1"/>
    <w:multiLevelType w:val="hybridMultilevel"/>
    <w:lvl w:ilvl="0">
      <w:lvlJc w:val="left"/>
      <w:lvlText w:val="(%1)"/>
      <w:numFmt w:val="lowerLetter"/>
      <w:start w:val="2"/>
    </w:lvl>
  </w:abstractNum>
  <w:abstractNum w:abstractNumId="52">
    <w:nsid w:val="374A3FE6"/>
    <w:multiLevelType w:val="hybridMultilevel"/>
    <w:lvl w:ilvl="0">
      <w:lvlJc w:val="left"/>
      <w:lvlText w:val="%1."/>
      <w:numFmt w:val="decimal"/>
      <w:start w:val="2"/>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2026-05-19T15:59:05Z</dcterms:created>
  <dcterms:modified xsi:type="dcterms:W3CDTF">2026-05-19T15:59:05Z</dcterms:modified>
</cp:coreProperties>
</file>