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331-1_4seq1.xml.htm"/>
      <w:bookmarkStart w:id="1" w:name="kstm262033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Liberty Broadband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12300 LIBERTY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68"/>
        <w:gridCol w:w="923"/>
        <w:gridCol w:w="796"/>
        <w:gridCol w:w="613"/>
        <w:gridCol w:w="327"/>
        <w:gridCol w:w="985"/>
        <w:gridCol w:w="380"/>
        <w:gridCol w:w="840"/>
        <w:gridCol w:w="1312"/>
        <w:gridCol w:w="919"/>
        <w:gridCol w:w="154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5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5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129,907</w:t>
            </w:r>
          </w:p>
        </w:tc>
        <w:tc>
          <w:tcPr>
            <w:tcW w:w="3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135.88</w:t>
            </w:r>
            <w:r>
              <w:rPr/>
              <w:t xml:space="preserve"> </w:t>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38,593,563</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through wholly-owned subsidiaries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Such shares were sold to the Issuer in an exempt transaction pursuant to Rule 16b-3 under the Securities Exchange Act of 1934, as amended, pursuant to the terms of the Second Amended and Restated Stockholders Agreement, dated as of May 23, 2015, as amended, by and among, among others, the Issuer, Advance/Newhouse Partnership and the Reporting Person, the Letter Agreement, dated February 23, 2021, between the Issuer and the Reporting Person, Amendment No. 1 to the Second Amended and Restated Stockholders Agreement and the Letter Agreement, dated as of November 12, 2024, by and among, among others, the Issuer and the Reporting Person, and the Letter Agreement, dated March 5, 2026, by and among the Issuer, the Reporting Person and Advance/Newhouse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Liberty Broadband Corporation By: /s/ Brittany A. Uthoff Name: Brittany A. Uthoff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1983"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3807</Characters>
  <CharactersWithSpaces>4445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