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2767.xml.htm"/>
      <w:bookmarkStart w:id="1" w:name="kswkform4_17876027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Fischer Jessica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CHARTER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149.395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96,939</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96,939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37,652</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options granted on August 20, 2026 under the Charter Communications, Inc. 2019 Stock Incentive Plan in connection with the closing of the previously announced transactions contemplated by the Transaction Agreement by and among Charter Communications, Inc., Charter Communications Holdings, LLC and Cox Enterprises, Inc. (the "Cox Transactions"); 100% of the grant will vest on the fourth anniversary of the grant date, August 20, 2030. Such options will terminate 10 years from the grant date unless terminated sooner in accordance with the plan or grant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 grant - price and expiration date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granted on August 20, 2026 under the Charter Communications, Inc. 2019 Stock Incentive Plan in connection with the closing of the Cox Transactions; 50% of the grant will vest on the second anniversary of the grant date, August 20, 2028, and 50% of the grant will vest on the fourth anniversary of the grant date, August 20,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/s/Jennifer A. Smith as attorney-in-fact for Jessica M. Fischer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8977"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4120</Characters>
  <CharactersWithSpaces>4791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