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center"/>
        <w:rPr/>
      </w:pPr>
      <w:r>
        <w:rPr>
          <w:rFonts w:ascii="Times New Roman;serif" w:hAnsi="Times New Roman;serif"/>
          <w:b/>
          <w:color w:val="000000"/>
          <w:sz w:val="32"/>
        </w:rPr>
        <w:t>FORM 10-Q</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(Mark One)</w:t>
      </w:r>
    </w:p>
    <w:tbl>
      <w:tblPr>
        <w:tblW w:w="9282" w:type="dxa"/>
        <w:jc w:val="left"/>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p>
      <w:pPr>
        <w:pStyle w:val="TextBody"/>
        <w:bidi w:val="0"/>
        <w:spacing w:lineRule="auto" w:line="345"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88" w:before="100" w:after="100"/>
        <w:jc w:val="center"/>
        <w:rPr>
          <w:rFonts w:ascii="Times New Roman;serif" w:hAnsi="Times New Roman;serif"/>
          <w:b w:val="false"/>
          <w:color w:val="000000"/>
          <w:sz w:val="18"/>
        </w:rPr>
      </w:pPr>
      <w:r>
        <w:rPr>
          <w:rFonts w:ascii="Times New Roman;serif" w:hAnsi="Times New Roman;serif"/>
          <w:b w:val="false"/>
          <w:color w:val="000000"/>
          <w:sz w:val="18"/>
        </w:rPr>
        <w:t xml:space="preserve">For the Transition Period From             to              </w:t>
      </w:r>
    </w:p>
    <w:p>
      <w:pPr>
        <w:pStyle w:val="TextBody"/>
        <w:bidi w:val="0"/>
        <w:spacing w:before="0" w:after="0"/>
        <w:jc w:val="left"/>
        <w:rPr/>
      </w:pPr>
      <w:r>
        <w:rPr/>
      </w:r>
    </w:p>
    <w:p>
      <w:pPr>
        <w:pStyle w:val="TextBody"/>
        <w:bidi w:val="0"/>
        <w:spacing w:lineRule="auto" w:line="288" w:before="100" w:after="100"/>
        <w:jc w:val="center"/>
        <w:rPr/>
      </w:pPr>
      <w:r>
        <w:rPr>
          <w:rFonts w:ascii="Times New Roman;serif" w:hAnsi="Times New Roman;serif"/>
          <w:b/>
          <w:color w:val="000000"/>
          <w:sz w:val="16"/>
        </w:rPr>
        <w:t>Commission File Number: 001-33664</w:t>
      </w:r>
      <w:r>
        <w:rPr>
          <w:color w:val="000000"/>
        </w:rPr>
        <w:t xml:space="preserve"> </w:t>
      </w:r>
    </w:p>
    <w:p>
      <w:pPr>
        <w:pStyle w:val="TextBody"/>
        <w:bidi w:val="0"/>
        <w:spacing w:before="100" w:after="100"/>
        <w:jc w:val="center"/>
        <w:rPr/>
      </w:pPr>
      <w:r>
        <w:rPr/>
        <w:drawing>
          <wp:inline distT="0" distB="0" distL="0" distR="0">
            <wp:extent cx="21336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3817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8"/>
          <w:u w:val="single"/>
        </w:rPr>
        <w:t>Charter Communications, Inc.</w:t>
      </w:r>
      <w:r>
        <w:rPr>
          <w:color w:val="000000"/>
        </w:rPr>
        <w:t xml:space="preserve"> </w:t>
      </w:r>
    </w:p>
    <w:p>
      <w:pPr>
        <w:pStyle w:val="TextBody"/>
        <w:bidi w:val="0"/>
        <w:spacing w:lineRule="auto" w:line="288" w:before="0" w:after="0"/>
        <w:jc w:val="center"/>
        <w:rPr/>
      </w:pPr>
      <w:r>
        <w:rPr>
          <w:rFonts w:ascii="Times New Roman;serif" w:hAnsi="Times New Roman;serif"/>
          <w:b w:val="false"/>
          <w:i/>
          <w:color w:val="000000"/>
          <w:sz w:val="16"/>
        </w:rPr>
        <w:t>(Exact name of registrant as specified in its charter)</w:t>
      </w:r>
      <w:r>
        <w:rPr>
          <w:color w:val="000000"/>
        </w:rPr>
        <w:t xml:space="preserve"> </w:t>
      </w:r>
    </w:p>
    <w:tbl>
      <w:tblPr>
        <w:tblW w:w="8731" w:type="dxa"/>
        <w:jc w:val="center"/>
        <w:tblInd w:w="0" w:type="dxa"/>
        <w:tblLayout w:type="fixed"/>
        <w:tblCellMar>
          <w:top w:w="28" w:type="dxa"/>
          <w:left w:w="28" w:type="dxa"/>
          <w:bottom w:w="28" w:type="dxa"/>
          <w:right w:w="28" w:type="dxa"/>
        </w:tblCellMar>
      </w:tblPr>
      <w:tblGrid>
        <w:gridCol w:w="1553"/>
        <w:gridCol w:w="1364"/>
        <w:gridCol w:w="1372"/>
        <w:gridCol w:w="265"/>
        <w:gridCol w:w="265"/>
        <w:gridCol w:w="266"/>
        <w:gridCol w:w="325"/>
        <w:gridCol w:w="325"/>
        <w:gridCol w:w="32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177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84-1496755</w:t>
            </w:r>
          </w:p>
        </w:tc>
      </w:tr>
      <w:tr>
        <w:trPr/>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77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0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400 Washington Blvd.</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Stamford</w:t>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Connecticut</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06902</w:t>
            </w:r>
          </w:p>
        </w:tc>
      </w:tr>
      <w:tr>
        <w:trPr/>
        <w:tc>
          <w:tcPr>
            <w:tcW w:w="6061"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45" w:before="0" w:after="0"/>
        <w:jc w:val="center"/>
        <w:rPr/>
      </w:pPr>
      <w:r>
        <w:rPr>
          <w:rFonts w:ascii="Times New Roman;serif" w:hAnsi="Times New Roman;serif"/>
          <w:b/>
          <w:color w:val="000000"/>
          <w:sz w:val="16"/>
          <w:u w:val="single"/>
        </w:rPr>
        <w:t>(203) 905-7801</w:t>
      </w:r>
      <w:r>
        <w:rPr>
          <w:color w:val="000000"/>
        </w:rPr>
        <w:t xml:space="preserve"> </w:t>
      </w:r>
    </w:p>
    <w:p>
      <w:pPr>
        <w:pStyle w:val="TextBody"/>
        <w:bidi w:val="0"/>
        <w:spacing w:lineRule="auto" w:line="264"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574" w:type="dxa"/>
        <w:jc w:val="left"/>
        <w:tblInd w:w="0" w:type="dxa"/>
        <w:tblLayout w:type="fixed"/>
        <w:tblCellMar>
          <w:top w:w="28" w:type="dxa"/>
          <w:left w:w="28" w:type="dxa"/>
          <w:bottom w:w="28" w:type="dxa"/>
          <w:right w:w="28" w:type="dxa"/>
        </w:tblCellMar>
      </w:tblPr>
      <w:tblGrid>
        <w:gridCol w:w="1060"/>
        <w:gridCol w:w="926"/>
        <w:gridCol w:w="939"/>
        <w:gridCol w:w="474"/>
        <w:gridCol w:w="474"/>
        <w:gridCol w:w="476"/>
        <w:gridCol w:w="945"/>
        <w:gridCol w:w="945"/>
        <w:gridCol w:w="1335"/>
      </w:tblGrid>
      <w:tr>
        <w:trPr/>
        <w:tc>
          <w:tcPr>
            <w:tcW w:w="10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CHTR</w:t>
            </w:r>
          </w:p>
        </w:tc>
        <w:tc>
          <w:tcPr>
            <w:tcW w:w="32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16"/>
        </w:rPr>
        <w:t xml:space="preserve">x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 xml:space="preserve">Large accelerated filer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Accelerated filer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Non-accelerated filer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Smaller reporting company </w:t>
      </w:r>
      <w:r>
        <w:rPr>
          <w:color w:val="000000"/>
        </w:rPr>
        <w:t>☐     </w:t>
      </w:r>
      <w:r>
        <w:rPr>
          <w:rFonts w:ascii="Times New Roman;serif" w:hAnsi="Times New Roman;serif"/>
          <w:b w:val="false"/>
          <w:color w:val="000000"/>
          <w:sz w:val="16"/>
        </w:rPr>
        <w:t xml:space="preserve">Emerging growth company </w:t>
      </w: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Number of shares of Class A common stock outstanding as of June 30, 2026: 119,277,492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Number of shares of Class B common stock outstanding as of June 30, 2026: 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drawing>
          <wp:inline distT="0" distB="0" distL="0" distR="0">
            <wp:extent cx="2133600" cy="6381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133600" cy="638175"/>
                    </a:xfrm>
                    <a:prstGeom prst="rect">
                      <a:avLst/>
                    </a:prstGeom>
                  </pic:spPr>
                </pic:pic>
              </a:graphicData>
            </a:graphic>
          </wp:inline>
        </w:drawing>
      </w:r>
      <w:bookmarkStart w:id="1" w:name="i-2"/>
      <w:bookmarkEnd w:id="1"/>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CHARTER COMMUNICATIONS, INC. </w:t>
      </w:r>
    </w:p>
    <w:p>
      <w:pPr>
        <w:pStyle w:val="TextBody"/>
        <w:bidi w:val="0"/>
        <w:spacing w:lineRule="auto" w:line="288" w:before="0" w:after="0"/>
        <w:jc w:val="center"/>
        <w:rPr/>
      </w:pPr>
      <w:r>
        <w:rPr>
          <w:rFonts w:ascii="Times New Roman;serif" w:hAnsi="Times New Roman;serif"/>
          <w:b/>
          <w:color w:val="000000"/>
          <w:sz w:val="20"/>
        </w:rPr>
        <w:t>QUARTERLY REPORT ON FORM 10-Q FOR THE PERIOD ENDED JUNE 30,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xml:space="preserve"> </w:t>
      </w:r>
    </w:p>
    <w:tbl>
      <w:tblPr>
        <w:tblW w:w="9014" w:type="dxa"/>
        <w:jc w:val="center"/>
        <w:tblInd w:w="0" w:type="dxa"/>
        <w:tblLayout w:type="fixed"/>
        <w:tblCellMar>
          <w:top w:w="28" w:type="dxa"/>
          <w:left w:w="28" w:type="dxa"/>
          <w:bottom w:w="28" w:type="dxa"/>
          <w:right w:w="28" w:type="dxa"/>
        </w:tblCellMar>
      </w:tblPr>
      <w:tblGrid>
        <w:gridCol w:w="283"/>
        <w:gridCol w:w="248"/>
        <w:gridCol w:w="249"/>
        <w:gridCol w:w="2443"/>
        <w:gridCol w:w="2443"/>
        <w:gridCol w:w="2449"/>
        <w:gridCol w:w="263"/>
        <w:gridCol w:w="263"/>
        <w:gridCol w:w="37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3">
              <w:r>
                <w:rPr>
                  <w:rStyle w:val="InternetLink"/>
                  <w:rFonts w:ascii="Times New Roman;serif" w:hAnsi="Times New Roman;serif"/>
                  <w:b w:val="false"/>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3">
              <w:r>
                <w:rPr>
                  <w:rStyle w:val="InternetLink"/>
                  <w:rFonts w:ascii="Times New Roman;serif" w:hAnsi="Times New Roman;serif"/>
                  <w:b w:val="false"/>
                  <w:color w:val="0000FF"/>
                  <w:sz w:val="20"/>
                  <w:u w:val="single"/>
                </w:rPr>
                <w:t>FINANCIAL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6">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6">
              <w:r>
                <w:rPr>
                  <w:rStyle w:val="InternetLink"/>
                  <w:rFonts w:ascii="Times New Roman;serif" w:hAnsi="Times New Roman;serif"/>
                  <w:b w:val="false"/>
                  <w:color w:val="0000FF"/>
                  <w:sz w:val="20"/>
                  <w:u w:val="single"/>
                </w:rPr>
                <w:t xml:space="preserve">Financial Statements </w:t>
                <w:noBreakHyphen/>
                <w:t xml:space="preserve"> Charter Communications, Inc. and Subsidiaries</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9">
              <w:r>
                <w:rPr>
                  <w:rStyle w:val="InternetLink"/>
                  <w:rFonts w:ascii="Times New Roman;serif" w:hAnsi="Times New Roman;serif"/>
                  <w:b w:val="false"/>
                  <w:color w:val="0000FF"/>
                  <w:sz w:val="20"/>
                  <w:u w:val="single"/>
                </w:rPr>
                <w:t>Consolidated Balance Sheets as of June 30, 2026 and December 31,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19">
              <w:r>
                <w:rPr>
                  <w:rStyle w:val="InternetLink"/>
                  <w:rFonts w:ascii="Times New Roman;serif" w:hAnsi="Times New Roman;serif"/>
                  <w:b w:val="false"/>
                  <w:color w:val="0000FF"/>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25">
              <w:r>
                <w:rPr>
                  <w:rStyle w:val="InternetLink"/>
                  <w:rFonts w:ascii="Times New Roman;serif" w:hAnsi="Times New Roman;serif"/>
                  <w:b w:val="false"/>
                  <w:color w:val="0000FF"/>
                  <w:sz w:val="20"/>
                  <w:u w:val="single"/>
                </w:rPr>
                <w:t>Consolidated Statements of Operations</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25">
              <w:r>
                <w:rPr>
                  <w:rStyle w:val="InternetLink"/>
                  <w:rFonts w:ascii="Times New Roman;serif" w:hAnsi="Times New Roman;serif"/>
                  <w:b w:val="false"/>
                  <w:color w:val="0000FF"/>
                  <w:sz w:val="20"/>
                  <w:u w:val="single"/>
                </w:rPr>
                <w:t>for the three and six months ended June 30, 2026 and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25">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28">
              <w:r>
                <w:rPr>
                  <w:rStyle w:val="InternetLink"/>
                  <w:rFonts w:ascii="Times New Roman;serif" w:hAnsi="Times New Roman;serif"/>
                  <w:b w:val="false"/>
                  <w:color w:val="0000FF"/>
                  <w:sz w:val="20"/>
                  <w:u w:val="single"/>
                </w:rPr>
                <w:t>Consolidated Statements of Changes in Shareholders' Equity</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28">
              <w:r>
                <w:rPr>
                  <w:rStyle w:val="InternetLink"/>
                  <w:rFonts w:ascii="Times New Roman;serif" w:hAnsi="Times New Roman;serif"/>
                  <w:b w:val="false"/>
                  <w:color w:val="0000FF"/>
                  <w:sz w:val="20"/>
                  <w:u w:val="single"/>
                </w:rPr>
                <w:t>for the three and six months ended June 30, 2026 and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28">
              <w:r>
                <w:rPr>
                  <w:rStyle w:val="InternetLink"/>
                  <w:rFonts w:ascii="Times New Roman;serif" w:hAnsi="Times New Roman;serif"/>
                  <w:b w:val="false"/>
                  <w:color w:val="0000FF"/>
                  <w:sz w:val="20"/>
                  <w:u w:val="singl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31">
              <w:r>
                <w:rPr>
                  <w:rStyle w:val="InternetLink"/>
                  <w:rFonts w:ascii="Times New Roman;serif" w:hAnsi="Times New Roman;serif"/>
                  <w:b w:val="false"/>
                  <w:color w:val="0000FF"/>
                  <w:sz w:val="20"/>
                  <w:u w:val="single"/>
                </w:rPr>
                <w:t>Consolidated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31">
              <w:r>
                <w:rPr>
                  <w:rStyle w:val="InternetLink"/>
                  <w:rFonts w:ascii="Times New Roman;serif" w:hAnsi="Times New Roman;serif"/>
                  <w:b w:val="false"/>
                  <w:color w:val="0000FF"/>
                  <w:sz w:val="20"/>
                  <w:u w:val="single"/>
                </w:rPr>
                <w:t>for the six months ended June 30, 2026 and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31">
              <w:r>
                <w:rPr>
                  <w:rStyle w:val="InternetLink"/>
                  <w:rFonts w:ascii="Times New Roman;serif" w:hAnsi="Times New Roman;serif"/>
                  <w:b w:val="false"/>
                  <w:color w:val="0000FF"/>
                  <w:sz w:val="20"/>
                  <w:u w:val="singl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34">
              <w:r>
                <w:rPr>
                  <w:rStyle w:val="InternetLink"/>
                  <w:rFonts w:ascii="Times New Roman;serif" w:hAnsi="Times New Roman;serif"/>
                  <w:b w:val="false"/>
                  <w:color w:val="0000FF"/>
                  <w:sz w:val="20"/>
                  <w:u w:val="single"/>
                </w:rPr>
                <w:t>Notes to Consolidated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34">
              <w:r>
                <w:rPr>
                  <w:rStyle w:val="InternetLink"/>
                  <w:rFonts w:ascii="Times New Roman;serif" w:hAnsi="Times New Roman;serif"/>
                  <w:b w:val="false"/>
                  <w:color w:val="0000FF"/>
                  <w:sz w:val="20"/>
                  <w:u w:val="singl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73">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73">
              <w:r>
                <w:rPr>
                  <w:rStyle w:val="InternetLink"/>
                  <w:rFonts w:ascii="Times New Roman;serif" w:hAnsi="Times New Roman;serif"/>
                  <w:b w:val="false"/>
                  <w:color w:val="0000FF"/>
                  <w:sz w:val="20"/>
                  <w:u w:val="single"/>
                </w:rPr>
                <w:t>14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8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82">
              <w:r>
                <w:rPr>
                  <w:rStyle w:val="InternetLink"/>
                  <w:rFonts w:ascii="Times New Roman;serif" w:hAnsi="Times New Roman;serif"/>
                  <w:b w:val="false"/>
                  <w:color w:val="0000FF"/>
                  <w:sz w:val="20"/>
                  <w:u w:val="single"/>
                </w:rPr>
                <w:t>Quantitative and Qualitative Disclosure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82">
              <w:r>
                <w:rPr>
                  <w:rStyle w:val="InternetLink"/>
                  <w:rFonts w:ascii="Times New Roman;serif" w:hAnsi="Times New Roman;serif"/>
                  <w:b w:val="false"/>
                  <w:color w:val="0000FF"/>
                  <w:sz w:val="20"/>
                  <w:u w:val="single"/>
                </w:rPr>
                <w:t>28</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8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85">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85">
              <w:r>
                <w:rPr>
                  <w:rStyle w:val="InternetLink"/>
                  <w:rFonts w:ascii="Times New Roman;serif" w:hAnsi="Times New Roman;serif"/>
                  <w:b w:val="false"/>
                  <w:color w:val="0000FF"/>
                  <w:sz w:val="20"/>
                  <w:u w:val="single"/>
                </w:rPr>
                <w:t>28</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88">
              <w:r>
                <w:rPr>
                  <w:rStyle w:val="InternetLink"/>
                  <w:rFonts w:ascii="Times New Roman;serif" w:hAnsi="Times New Roman;serif"/>
                  <w:b w:val="false"/>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88">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91">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91">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91">
              <w:r>
                <w:rPr>
                  <w:rStyle w:val="InternetLink"/>
                  <w:rFonts w:ascii="Times New Roman;serif" w:hAnsi="Times New Roman;serif"/>
                  <w:b w:val="false"/>
                  <w:color w:val="0000FF"/>
                  <w:sz w:val="20"/>
                  <w:u w:val="single"/>
                </w:rPr>
                <w:t>29</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94">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94">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94">
              <w:r>
                <w:rPr>
                  <w:rStyle w:val="InternetLink"/>
                  <w:rFonts w:ascii="Times New Roman;serif" w:hAnsi="Times New Roman;serif"/>
                  <w:b w:val="false"/>
                  <w:color w:val="0000FF"/>
                  <w:sz w:val="20"/>
                  <w:u w:val="single"/>
                </w:rPr>
                <w:t>29</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9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97">
              <w:r>
                <w:rPr>
                  <w:rStyle w:val="InternetLink"/>
                  <w:rFonts w:ascii="Times New Roman;serif" w:hAnsi="Times New Roman;serif"/>
                  <w:b w:val="false"/>
                  <w:color w:val="0000FF"/>
                  <w:sz w:val="20"/>
                  <w:u w:val="single"/>
                </w:rPr>
                <w:t>Unregistered Sales of Equity Securities and Use of Proceeds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97">
              <w:r>
                <w:rPr>
                  <w:rStyle w:val="InternetLink"/>
                  <w:rFonts w:ascii="Times New Roman;serif" w:hAnsi="Times New Roman;serif"/>
                  <w:b w:val="false"/>
                  <w:color w:val="0000FF"/>
                  <w:sz w:val="20"/>
                  <w:u w:val="single"/>
                </w:rPr>
                <w:t>29</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00">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00">
              <w:r>
                <w:rPr>
                  <w:rStyle w:val="InternetLink"/>
                  <w:rFonts w:ascii="Times New Roman;serif" w:hAnsi="Times New Roman;serif"/>
                  <w:b w:val="false"/>
                  <w:color w:val="0000FF"/>
                  <w:sz w:val="20"/>
                  <w:u w:val="single"/>
                </w:rPr>
                <w:t xml:space="preserve">Exhibits </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100">
              <w:r>
                <w:rPr>
                  <w:rStyle w:val="InternetLink"/>
                  <w:rFonts w:ascii="Times New Roman;serif" w:hAnsi="Times New Roman;serif"/>
                  <w:b w:val="false"/>
                  <w:color w:val="0000FF"/>
                  <w:sz w:val="20"/>
                  <w:u w:val="single"/>
                </w:rPr>
                <w:t>29</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03">
              <w:r>
                <w:rPr>
                  <w:rStyle w:val="InternetLink"/>
                  <w:rFonts w:ascii="Times New Roman;serif" w:hAnsi="Times New Roman;serif"/>
                  <w:b w:val="false"/>
                  <w:color w:val="0000FF"/>
                  <w:sz w:val="20"/>
                  <w:u w:val="single"/>
                </w:rPr>
                <w:t>Signatures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103">
              <w:r>
                <w:rPr>
                  <w:rStyle w:val="InternetLink"/>
                  <w:rFonts w:ascii="Times New Roman;serif" w:hAnsi="Times New Roman;serif"/>
                  <w:b w:val="false"/>
                  <w:color w:val="000080"/>
                  <w:sz w:val="20"/>
                  <w:u w:val="single"/>
                </w:rPr>
                <w:t>S-</w:t>
              </w:r>
            </w:hyperlink>
            <w:hyperlink w:anchor="i732a9997795245148278a889fa143c79_103">
              <w:r>
                <w:rPr>
                  <w:rStyle w:val="InternetLink"/>
                  <w:rFonts w:ascii="Times New Roman;serif" w:hAnsi="Times New Roman;serif"/>
                  <w:b w:val="false"/>
                  <w:color w:val="000080"/>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32a9997795245148278a889fa143c79_106">
              <w:r>
                <w:rPr>
                  <w:rStyle w:val="InternetLink"/>
                  <w:rFonts w:ascii="Times New Roman;serif" w:hAnsi="Times New Roman;serif"/>
                  <w:b w:val="false"/>
                  <w:color w:val="0000FF"/>
                  <w:sz w:val="20"/>
                  <w:u w:val="single"/>
                </w:rPr>
                <w:t>Exhibit Index</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2a9997795245148278a889fa143c79_106">
              <w:r>
                <w:rPr>
                  <w:rStyle w:val="InternetLink"/>
                  <w:rFonts w:ascii="Times New Roman;serif" w:hAnsi="Times New Roman;serif"/>
                  <w:b w:val="false"/>
                  <w:color w:val="000080"/>
                  <w:sz w:val="20"/>
                  <w:u w:val="single"/>
                </w:rPr>
                <w:t>E-</w:t>
              </w:r>
            </w:hyperlink>
            <w:hyperlink w:anchor="i732a9997795245148278a889fa143c79_106">
              <w:r>
                <w:rPr>
                  <w:rStyle w:val="InternetLink"/>
                  <w:rFonts w:ascii="Times New Roman;serif" w:hAnsi="Times New Roman;serif"/>
                  <w:b w:val="false"/>
                  <w:color w:val="000080"/>
                  <w:sz w:val="20"/>
                  <w:u w:val="single"/>
                </w:rPr>
                <w:t>1</w:t>
              </w:r>
            </w:hyperlink>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is for the three and six months ended June 30, 2026. The United States Securities and Exchange Commission (“SEC”) allows us to “incorporate by reference” information that we file with the SEC, which means that we can disclose important information to you by referring you directly to those documents. In this quarterly report, “Charter,” “we,” “us” and “our” refer to Charter Communications,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CAUTIONARY STATEMENT REGARDING FORWARD-LOOKING STATEMENTS</w:t>
      </w:r>
      <w:r>
        <w:rPr>
          <w:color w:val="000000"/>
        </w:rPr>
        <w:t xml:space="preserv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2. “Management’s Discussion and Analysis of Financial Condition and Results of Operations” in this quarterly report.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in Part I, Item 1A of our most recent Form 10-K filed with the SEC. Many of the forward-looking statements contained in this quarterly report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quarterly report are set forth in this quarterly report on Form 10-Q, in our annual report on Form 10-K, and in other reports or documents that we file from time to time with the SEC, and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general business conditions, unemployment levels and the level of activity in the housing sector and economic uncertainty or downturn;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develop and deploy new products and technologies including consumer services and service platforms;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events that disrupt our networks, information systems or properties and impair our operating activities or our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procure necessary services and equipment from our vendors in a timely manner and at reasonable costs including in connection with our network evolution and rural construction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obtain programming at reasonable prices or to raise prices to offset, in whole or in part, the effects of higher programming costs (including retransmission consents and distribution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hire and retain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all covenants in our indentures and credit facilities, any violation of which, if not cured in a timely manner, could trigger a default of our other obligations under cross-default provisions;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the conditions to consummate the Liberty Broadband Combination and/or the Cox Transactions and/or to consummate the Liberty Broadband Combination and/or the Cox Transactions in a timely manner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us being restricted in the operation of our business while the Liberty Broadband Merger Agreement and the Cox Communications Transaction Agreement are in effect;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related to the Cox Transactions as described in the definitive proxy statement with respect to the Cox Transactions, filed by Charter on July 2, 2025, including the sections entitled “Risk Factors” and “Where You Can Find More Information” included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attributable to us or any person acting on our behalf are expressly qualified in their entirety by this cautionary statement. We are under no duty or obligation to update any of the forward-looking statements after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0"/>
        </w:rPr>
        <w:t>CHARTER COMMUNICATIONS, INC.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share data)</w:t>
      </w:r>
    </w:p>
    <w:p>
      <w:pPr>
        <w:pStyle w:val="TextBody"/>
        <w:bidi w:val="0"/>
        <w:spacing w:before="0" w:after="0"/>
        <w:jc w:val="center"/>
        <w:rPr/>
      </w:pPr>
      <w:r>
        <w:rPr/>
      </w:r>
    </w:p>
    <w:tbl>
      <w:tblPr>
        <w:tblW w:w="9917" w:type="dxa"/>
        <w:jc w:val="center"/>
        <w:tblInd w:w="0" w:type="dxa"/>
        <w:tblLayout w:type="fixed"/>
        <w:tblCellMar>
          <w:top w:w="28" w:type="dxa"/>
          <w:left w:w="28" w:type="dxa"/>
          <w:bottom w:w="28" w:type="dxa"/>
          <w:right w:w="28" w:type="dxa"/>
        </w:tblCellMar>
      </w:tblPr>
      <w:tblGrid>
        <w:gridCol w:w="2624"/>
        <w:gridCol w:w="2301"/>
        <w:gridCol w:w="2319"/>
        <w:gridCol w:w="196"/>
        <w:gridCol w:w="736"/>
        <w:gridCol w:w="109"/>
        <w:gridCol w:w="109"/>
        <w:gridCol w:w="109"/>
        <w:gridCol w:w="109"/>
        <w:gridCol w:w="235"/>
        <w:gridCol w:w="885"/>
        <w:gridCol w:w="185"/>
      </w:tblGrid>
      <w:tr>
        <w:trPr/>
        <w:tc>
          <w:tcPr>
            <w:tcW w:w="2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doubtful accounts of $238 and $219,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CABLE PROPERTIES: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$41,990 and $41,514,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Customer relationships, net of accumulated amortization of $18,078 and $17,875,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 cable properties,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144,065 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SHAREHOLDERS’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13,306 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INSTALLMENT PLAN FINANCING FACILITY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900 million shares authorized;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129,602,238 and 126,631,549 shares issued,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$0.001 par value; 1,000 shares authorized;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share issued and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250 million shares authorized;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10,324,746 and no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Charter shareholders’ equity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154,213 </w:t>
            </w:r>
          </w:p>
        </w:tc>
        <w:tc>
          <w:tcPr>
            <w:tcW w:w="1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CHARTER COMMUNICATIONS, INC.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2"/>
        <w:gridCol w:w="1390"/>
        <w:gridCol w:w="1398"/>
        <w:gridCol w:w="244"/>
        <w:gridCol w:w="807"/>
        <w:gridCol w:w="121"/>
        <w:gridCol w:w="121"/>
        <w:gridCol w:w="121"/>
        <w:gridCol w:w="121"/>
        <w:gridCol w:w="244"/>
        <w:gridCol w:w="807"/>
        <w:gridCol w:w="121"/>
        <w:gridCol w:w="109"/>
        <w:gridCol w:w="109"/>
        <w:gridCol w:w="109"/>
        <w:gridCol w:w="244"/>
        <w:gridCol w:w="807"/>
        <w:gridCol w:w="113"/>
        <w:gridCol w:w="113"/>
        <w:gridCol w:w="113"/>
        <w:gridCol w:w="113"/>
        <w:gridCol w:w="244"/>
        <w:gridCol w:w="807"/>
        <w:gridCol w:w="167"/>
      </w:tblGrid>
      <w:tr>
        <w:trPr/>
        <w:tc>
          <w:tcPr>
            <w:tcW w:w="166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items shown separately below)</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Charter shareholders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COMMON SHARE </w:t>
              <w:br/>
              <w:t>ATTRIBUTABLE TO CHARTER SHAREHOLDERS: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6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120,121,017 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138,205,810 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122,789,924 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139,889,251 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121,255,667 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141,684,415 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123,969,262 </w:t>
            </w:r>
          </w:p>
        </w:tc>
        <w:tc>
          <w:tcPr>
            <w:tcW w:w="1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143,098,493 </w:t>
            </w:r>
          </w:p>
        </w:tc>
        <w:tc>
          <w:tcPr>
            <w:tcW w:w="16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CHARTER COMMUNICATIONS, INC.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4"/>
        <w:gridCol w:w="477"/>
        <w:gridCol w:w="480"/>
        <w:gridCol w:w="242"/>
        <w:gridCol w:w="501"/>
        <w:gridCol w:w="134"/>
        <w:gridCol w:w="242"/>
        <w:gridCol w:w="501"/>
        <w:gridCol w:w="134"/>
        <w:gridCol w:w="229"/>
        <w:gridCol w:w="758"/>
        <w:gridCol w:w="127"/>
        <w:gridCol w:w="228"/>
        <w:gridCol w:w="670"/>
        <w:gridCol w:w="128"/>
        <w:gridCol w:w="201"/>
        <w:gridCol w:w="601"/>
        <w:gridCol w:w="112"/>
        <w:gridCol w:w="260"/>
        <w:gridCol w:w="858"/>
        <w:gridCol w:w="145"/>
        <w:gridCol w:w="280"/>
        <w:gridCol w:w="795"/>
        <w:gridCol w:w="156"/>
        <w:gridCol w:w="239"/>
        <w:gridCol w:w="790"/>
        <w:gridCol w:w="203"/>
      </w:tblGrid>
      <w:tr>
        <w:trPr/>
        <w:tc>
          <w:tcPr>
            <w:tcW w:w="7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Common Stock</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 Common Stock</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 Stock</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Charter Shareholders’ Equity</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Total Shareholders’ Equity </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 ownership, net of tax</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(4,230)</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16,385 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21,070 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issued pursuant to employee stock purchase plan</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 ownership, net of tax</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21,765 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21,901 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3"/>
        <w:gridCol w:w="476"/>
        <w:gridCol w:w="479"/>
        <w:gridCol w:w="242"/>
        <w:gridCol w:w="502"/>
        <w:gridCol w:w="134"/>
        <w:gridCol w:w="242"/>
        <w:gridCol w:w="502"/>
        <w:gridCol w:w="134"/>
        <w:gridCol w:w="230"/>
        <w:gridCol w:w="759"/>
        <w:gridCol w:w="128"/>
        <w:gridCol w:w="228"/>
        <w:gridCol w:w="670"/>
        <w:gridCol w:w="128"/>
        <w:gridCol w:w="202"/>
        <w:gridCol w:w="601"/>
        <w:gridCol w:w="112"/>
        <w:gridCol w:w="260"/>
        <w:gridCol w:w="860"/>
        <w:gridCol w:w="146"/>
        <w:gridCol w:w="280"/>
        <w:gridCol w:w="796"/>
        <w:gridCol w:w="156"/>
        <w:gridCol w:w="237"/>
        <w:gridCol w:w="786"/>
        <w:gridCol w:w="202"/>
      </w:tblGrid>
      <w:tr>
        <w:trPr/>
        <w:tc>
          <w:tcPr>
            <w:tcW w:w="71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Common Stock</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 Common Stock</w:t>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 Stock</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Charter Shareholders’ Equity</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Shareholders’ Equity</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(7,750)</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19,707 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 including excise tax</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 net of tax</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 ownership, net of tax</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7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20,522 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income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 including excise tax</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 net of tax</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 ownership, net of tax</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16,209 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20,368 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CHARTER COMMUNICATIONS, INC.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34" w:type="dxa"/>
        <w:jc w:val="center"/>
        <w:tblInd w:w="0" w:type="dxa"/>
        <w:tblLayout w:type="fixed"/>
        <w:tblCellMar>
          <w:top w:w="28" w:type="dxa"/>
          <w:left w:w="28" w:type="dxa"/>
          <w:bottom w:w="28" w:type="dxa"/>
          <w:right w:w="28" w:type="dxa"/>
        </w:tblCellMar>
      </w:tblPr>
      <w:tblGrid>
        <w:gridCol w:w="2414"/>
        <w:gridCol w:w="2120"/>
        <w:gridCol w:w="2125"/>
        <w:gridCol w:w="213"/>
        <w:gridCol w:w="605"/>
        <w:gridCol w:w="118"/>
        <w:gridCol w:w="118"/>
        <w:gridCol w:w="118"/>
        <w:gridCol w:w="118"/>
        <w:gridCol w:w="213"/>
        <w:gridCol w:w="605"/>
        <w:gridCol w:w="167"/>
      </w:tblGrid>
      <w:tr>
        <w:trPr/>
        <w:tc>
          <w:tcPr>
            <w:tcW w:w="2414"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net income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consolidated net income to net 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acquisitions and dispositions: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and other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from operating activities</w:t>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expenses related to capital expenditures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from investing activities</w:t>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equipment installment plan financing facility</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noncontrolling interest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from financing activities</w:t>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December 31, 2025, June 30, 2025 and December 31, 2024, cash, cash equivalents and restricted cash includes $90 million, $121 million, $43 million and $47 million of restricted cash included in prepaid expenses and other current assets in the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Organization and Basis of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Organization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Charter Communications, Inc. (together with its controlled subsidiaries, “Charter,” or the “Company”) is a leading broadband connectivity company with services available to homes and small to large businesses through its Spectrum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 Founded in 1993, the Company has evolved from providing cable TV to streaming, and from high-speed Internet to a converged broadband, WiFi and mobile experience. Over the Spectrum Fiber Broadband Network and supported by the Company’s 100% U.S.-based employees, the Company offers Seamless Connectivity and Entertainment with Spectrum Internet</w:t>
      </w:r>
      <w:r>
        <w:rPr>
          <w:rFonts w:ascii="Times New Roman;serif" w:hAnsi="Times New Roman;serif"/>
          <w:b w:val="false"/>
          <w:color w:val="000000"/>
          <w:sz w:val="13"/>
        </w:rPr>
        <w:t>®</w:t>
      </w:r>
      <w:r>
        <w:rPr>
          <w:rFonts w:ascii="Times New Roman;serif" w:hAnsi="Times New Roman;serif"/>
          <w:b w:val="false"/>
          <w:color w:val="000000"/>
          <w:sz w:val="20"/>
        </w:rPr>
        <w:t xml:space="preserve">, Mobile, TV and Voice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Charter is a holding company whose principal asset is a controlling equity interest in Charter Communications Holdings, LLC (“Charter Holdings”), an indirect owner of Charter Communications Operating, LLC (“Charter Operating”) under which substantially all of the operations reside. All significant intercompany accounts and transactions among consolidated entities have been eliminated.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U.S. generally accepted accounting principles (“GAAP”) and the rules and regulations of the Securities and Exchange Commission (the “SEC”). Accordingly, certain information and footnote disclosures typically included in the Company's Annual Report on Form 10-K have been condensed or omitted for this quarterly report. The accompanying consolidated financial statements are unaudited and are subject to review by regulatory authorities. However, in the opinion of management, such financial statements include all adjustments, which consist of only normal recurring adjustments, necessary for a fair presentation of the results for the periods presented. Interim results are not necessarily indicative of results for a full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valuation and impairment of franchise assets and goodwill, and income taxes. Actual results could differ from those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equaled net income attributable to Charter shareholders for the three and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Mergers and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Transaction Agreement, at the closing of the Cox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Equity Sale, Charter will pay $3.5 billion in cash to Cox Enterprises;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combined entity will assume Cox Communications’ approximately $12.4 billion in outstanding net debt and finance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Accounts Payable, Accrued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Accounts payable, accrued and other current liabilities consist of the following as of June 30, 2026 and December 31, 2025: </w:t>
      </w:r>
    </w:p>
    <w:p>
      <w:pPr>
        <w:pStyle w:val="TextBody"/>
        <w:bidi w:val="0"/>
        <w:spacing w:before="0" w:after="0"/>
        <w:jc w:val="both"/>
        <w:rPr/>
      </w:pPr>
      <w:r>
        <w:rPr/>
      </w:r>
    </w:p>
    <w:tbl>
      <w:tblPr>
        <w:tblW w:w="6476" w:type="dxa"/>
        <w:jc w:val="center"/>
        <w:tblInd w:w="0" w:type="dxa"/>
        <w:tblLayout w:type="fixed"/>
        <w:tblCellMar>
          <w:top w:w="28" w:type="dxa"/>
          <w:left w:w="28" w:type="dxa"/>
          <w:bottom w:w="28" w:type="dxa"/>
          <w:right w:w="28" w:type="dxa"/>
        </w:tblCellMar>
      </w:tblPr>
      <w:tblGrid>
        <w:gridCol w:w="1125"/>
        <w:gridCol w:w="988"/>
        <w:gridCol w:w="992"/>
        <w:gridCol w:w="258"/>
        <w:gridCol w:w="883"/>
        <w:gridCol w:w="133"/>
        <w:gridCol w:w="109"/>
        <w:gridCol w:w="109"/>
        <w:gridCol w:w="109"/>
        <w:gridCol w:w="344"/>
        <w:gridCol w:w="1175"/>
        <w:gridCol w:w="251"/>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regulatory fees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a supply chain finance program, the Company has agreements with third parties that allow its participating vendors to finance payment obligations from the Company with designated third-party financial institutions who act as its paying agent. As a result, the Company has generally extended its payment terms with vendors. A participating vendor may request a participating financial institution to finance one or more of the Company's payment obligations to such vendor prior to the scheduled due date thereof priced at a discount to the original payment obligation from the Company. The Company is not required to provide collateral to the financial institutions. The Company's obligations to participating vendors, including amounts due and scheduled payment dates, are not impacted by the vendors’ decisions to finance amounts due under these financing arrangements. The Company's outstanding payment obligations to participating vendors were $725 million and $735 million as of June 30, 2026 and December 31, 2025, respectively, and are included in accounts payable - trade and accrued capital expenditures above. Cash outflows to the financial institutions are classified as cash flows from operating and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a deferred payment program, the Company has agreements with third parties to pay certain invoices when due, and the Company pays the third parties at a later date, the invoice amount plus interest. The Company's outstanding payment obligation to participating vendors under the deferred payment plan was $1.2 billion and $918 million as of June 30, 2026 and December 31, 2025, respectively, and is included in short-term borrowings. Cash outflows to the financial institutions are classified as cash flows from financing activities.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4.    Total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debt as of June 30, 2026 and December 31, 2025 is as follows: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84"/>
        <w:gridCol w:w="439"/>
        <w:gridCol w:w="442"/>
        <w:gridCol w:w="109"/>
        <w:gridCol w:w="109"/>
        <w:gridCol w:w="233"/>
        <w:gridCol w:w="798"/>
        <w:gridCol w:w="120"/>
        <w:gridCol w:w="109"/>
        <w:gridCol w:w="109"/>
        <w:gridCol w:w="109"/>
        <w:gridCol w:w="226"/>
        <w:gridCol w:w="774"/>
        <w:gridCol w:w="116"/>
        <w:gridCol w:w="109"/>
        <w:gridCol w:w="109"/>
        <w:gridCol w:w="109"/>
        <w:gridCol w:w="211"/>
        <w:gridCol w:w="721"/>
        <w:gridCol w:w="109"/>
        <w:gridCol w:w="109"/>
        <w:gridCol w:w="109"/>
        <w:gridCol w:w="109"/>
        <w:gridCol w:w="109"/>
        <w:gridCol w:w="109"/>
        <w:gridCol w:w="233"/>
        <w:gridCol w:w="798"/>
        <w:gridCol w:w="120"/>
        <w:gridCol w:w="109"/>
        <w:gridCol w:w="109"/>
        <w:gridCol w:w="109"/>
        <w:gridCol w:w="226"/>
        <w:gridCol w:w="774"/>
        <w:gridCol w:w="116"/>
        <w:gridCol w:w="109"/>
        <w:gridCol w:w="109"/>
        <w:gridCol w:w="109"/>
        <w:gridCol w:w="211"/>
        <w:gridCol w:w="721"/>
        <w:gridCol w:w="162"/>
      </w:tblGrid>
      <w:tr>
        <w:trPr/>
        <w:tc>
          <w:tcPr>
            <w:tcW w:w="58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secured notes and debentures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facilities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93,845 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Includes the Company's £625 million fixed-rate British pound sterling denominated notes (the “Sterling Notes”) (remeasured at $829 million and $842 million as of June 30, 2026 and December 31, 2025, respectively, using the exchange rate at the respective dates) and the Company's £650 million aggregate principal amount of Sterling Notes (remeasured at $862 million and $876 million as of June 30, 2026 and December 31, 2025, respectively, using the exchange rate at the respective dates).</w:t>
      </w:r>
    </w:p>
    <w:p>
      <w:pPr>
        <w:pStyle w:val="TextBody"/>
        <w:bidi w:val="0"/>
        <w:spacing w:lineRule="auto" w:line="288" w:before="0" w:after="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The Company has availability under the Charter Operating credit facilities of approximately $3.7 billion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senior unsecured and secured notes and debentures as of June 30, 2026 and December 31, 2025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CCO Holdings and CCO Holdings Capital Corp. redeemed $750 million in aggregate principal amount of the outstanding 5.500% senior notes due 2026 and $2.25 billion in aggregate principal amount of the outstanding 5.125% senior notes due 2027. The transactions resulted in a loss on extinguishment of debt of approximately $4 million during the six months ended June 30, 2026 recorded in other income (expenses), net in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$1.2 billion in aggregate principal amount of various series of notes under an open market repurchase program. The transactions resulted in a gain on extinguishment of debt of approximately $243 million during the three and six months ended June 30, 2026 recorded in other income (expenses), net in the consolidated statement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5.    Equipment Installment Plan Financing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CCO EIP Financing, LLC (the “SPV Borrower”), a bankruptcy remote special purpose vehicle and consolidated subsidiary of the Company, is the borrower of a senior secured revolving credit facility to finance the purchase of equipment installment plan receivables (“EIP Receivables”) with a number of financial institutions (the “EIP Financing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under the EIP Financing Facility bears interest on the outstanding borrowings based on lenders’ cost of funds plus an applicable margin and was 4.82% and 5.14% as of June 30, 2026 and December 31, 2025, respectively. The EIP Financing Facility has a final maturity date of November 3, 2029, comprised of a twelve-month revolving loan period subject to renewal, and if not renewed, cash flows on EIP Receivables are applied to amortize the loan which may occur over a period of up to three years. SPV Borrower may borrow up to $2.0 billion under the EIP Financing Facility. As of June 30, 2026 and December 31, 2025, the carrying value of the EIP Financing Facility was $1.6 billion and $1.4 billion, respectively, and is included in the Company’s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SPV Borrower’s sole business consists of the purchase or acceptance through capital contributions of the EIP Receivables from Spectrum Mobile Equipment, LLC, (the sole direct parent entity of SPV Borrower that originates the EIP Receivables) and the subsequent retransfer of or granting of a security interest in such EIP Receivables to the administrative agent under the EIP Financing Facility. The SPV Borrower is a separate legal entity with its own separate creditors who will be entitled, upon its liquidation, to be satisfied out of the SPV Borrower’s assets prior to any assets or value in the SPV Borrower becoming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available to the SPV Borrower’s equity holders, and the assets of the SPV Borrower are not available to pay creditors of any other affiliate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EIP Financing Facility is accounted for on a consolidated basis as a secured borrowing. As of June 30, 2026 and December 31, 2025, pledged EIP Receivables with an unpaid principal balance of $2.3 billion and $2.2 billion, respectively, included in accounts receivable, net and other noncurrent assets, and restricted cash of $90 million and $121 million, respectively, included in prepaid expenses and other current assets, are held by the SPV Borrower and reflected in the Company’s consolidated balance sheets. Receipts from mobile customers related to the underlying EIP Receivables are reflected as cash flows from operating activities and borrowings and repayments under the EIP Financing Facility are reflected as cash flows from financing activities in the Company’s consolidated statements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Company's purchase of Charter Class A common stock and the effect on the consolidated statements of cash flows during the three and six months ended June 30, 2026 and 2025. </w:t>
      </w:r>
    </w:p>
    <w:p>
      <w:pPr>
        <w:pStyle w:val="TextBody"/>
        <w:bidi w:val="0"/>
        <w:spacing w:before="0" w:after="0"/>
        <w:jc w:val="both"/>
        <w:rPr/>
      </w:pPr>
      <w:r>
        <w:rPr/>
      </w:r>
    </w:p>
    <w:tbl>
      <w:tblPr>
        <w:tblW w:w="11967" w:type="dxa"/>
        <w:jc w:val="center"/>
        <w:tblInd w:w="0" w:type="dxa"/>
        <w:tblLayout w:type="fixed"/>
        <w:tblCellMar>
          <w:top w:w="28" w:type="dxa"/>
          <w:left w:w="28" w:type="dxa"/>
          <w:bottom w:w="28" w:type="dxa"/>
          <w:right w:w="28" w:type="dxa"/>
        </w:tblCellMar>
      </w:tblPr>
      <w:tblGrid>
        <w:gridCol w:w="521"/>
        <w:gridCol w:w="317"/>
        <w:gridCol w:w="288"/>
        <w:gridCol w:w="488"/>
        <w:gridCol w:w="488"/>
        <w:gridCol w:w="226"/>
        <w:gridCol w:w="109"/>
        <w:gridCol w:w="109"/>
        <w:gridCol w:w="109"/>
        <w:gridCol w:w="211"/>
        <w:gridCol w:w="466"/>
        <w:gridCol w:w="109"/>
        <w:gridCol w:w="109"/>
        <w:gridCol w:w="109"/>
        <w:gridCol w:w="109"/>
        <w:gridCol w:w="488"/>
        <w:gridCol w:w="488"/>
        <w:gridCol w:w="226"/>
        <w:gridCol w:w="109"/>
        <w:gridCol w:w="109"/>
        <w:gridCol w:w="109"/>
        <w:gridCol w:w="211"/>
        <w:gridCol w:w="616"/>
        <w:gridCol w:w="109"/>
        <w:gridCol w:w="109"/>
        <w:gridCol w:w="109"/>
        <w:gridCol w:w="109"/>
        <w:gridCol w:w="540"/>
        <w:gridCol w:w="541"/>
        <w:gridCol w:w="226"/>
        <w:gridCol w:w="109"/>
        <w:gridCol w:w="109"/>
        <w:gridCol w:w="109"/>
        <w:gridCol w:w="211"/>
        <w:gridCol w:w="616"/>
        <w:gridCol w:w="109"/>
        <w:gridCol w:w="109"/>
        <w:gridCol w:w="109"/>
        <w:gridCol w:w="109"/>
        <w:gridCol w:w="488"/>
        <w:gridCol w:w="488"/>
        <w:gridCol w:w="226"/>
        <w:gridCol w:w="109"/>
        <w:gridCol w:w="109"/>
        <w:gridCol w:w="109"/>
        <w:gridCol w:w="211"/>
        <w:gridCol w:w="61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buybacks </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3,996,545 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3,832,505 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8,284,640 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5,837,900 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withholding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cost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5,642,927 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3,944,427 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10,324,746 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6,221,062 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 buybacks above include shares of Charter Class A common stock purchased from Liberty Broadband Corporation (“Liberty Broadband”) as follows:</w:t>
      </w:r>
    </w:p>
    <w:p>
      <w:pPr>
        <w:pStyle w:val="TextBody"/>
        <w:bidi w:val="0"/>
        <w:spacing w:before="0" w:after="0"/>
        <w:jc w:val="center"/>
        <w:rPr/>
      </w:pPr>
      <w:r>
        <w:rPr/>
      </w:r>
    </w:p>
    <w:tbl>
      <w:tblPr>
        <w:tblW w:w="8076" w:type="dxa"/>
        <w:jc w:val="center"/>
        <w:tblInd w:w="0" w:type="dxa"/>
        <w:tblLayout w:type="fixed"/>
        <w:tblCellMar>
          <w:top w:w="28" w:type="dxa"/>
          <w:left w:w="28" w:type="dxa"/>
          <w:bottom w:w="28" w:type="dxa"/>
          <w:right w:w="28" w:type="dxa"/>
        </w:tblCellMar>
      </w:tblPr>
      <w:tblGrid>
        <w:gridCol w:w="867"/>
        <w:gridCol w:w="764"/>
        <w:gridCol w:w="769"/>
        <w:gridCol w:w="304"/>
        <w:gridCol w:w="672"/>
        <w:gridCol w:w="150"/>
        <w:gridCol w:w="150"/>
        <w:gridCol w:w="150"/>
        <w:gridCol w:w="150"/>
        <w:gridCol w:w="291"/>
        <w:gridCol w:w="644"/>
        <w:gridCol w:w="150"/>
        <w:gridCol w:w="109"/>
        <w:gridCol w:w="109"/>
        <w:gridCol w:w="109"/>
        <w:gridCol w:w="304"/>
        <w:gridCol w:w="672"/>
        <w:gridCol w:w="136"/>
        <w:gridCol w:w="136"/>
        <w:gridCol w:w="136"/>
        <w:gridCol w:w="136"/>
        <w:gridCol w:w="304"/>
        <w:gridCol w:w="672"/>
        <w:gridCol w:w="192"/>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purchased</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1,936,837 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808,841 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2,807,590 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1,634,261 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shares purchased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Charter had remaining board authority to purchase an additional $365 million of Charter’s Class A common stock and/or Charter Holdings common units, excluding purchases from Liberty Broadband. The Company also withholds shares of its Class A common stock in payment of income tax withholding owed by employees upon vesting of equity awards as well as exercise costs owed by employees upon exercise of stock options.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Charter’s board of directors approved the retirement of the then currently held treasury stock and those shares were retired as of December 31, 2025. The Company accounts for treasury stock using the cost method and includes treasury stock as a component of total shareholders’ equity.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represents consolidated subsidiaries of which the Company owns less than 100%. The Company is a holding company whose principal asset is a controlling equity interest in Charter Holdings, the indirect owner of the Company’s cable systems. Noncontrolling interests on the Company’s balance sheet consist primarily of Advance/Newhouse Partnership's (“A/N”) equity interests in Charter Holdings, which is comprised of a common ownership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of Charter Holdings attributable to A/N’s common noncontrolling interest for financial reporting purposes is based on the weighted average effective common ownership interest of approximately 11%, and was $232 million and $431 million for the three and six months ended June 30, 2026, respectively, and $194 million and $385 million for the three and six months ended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Charter Holdings' purchase of Charter Holdings common units from A/N and the effect on total shareholders' equity during the three and six months ended June 30, 2025. Charter Holdings did not purchase any Charter Holdings common units from A/N during the three and six months ended June 30, 2026.</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681"/>
        <w:gridCol w:w="1388"/>
        <w:gridCol w:w="1397"/>
        <w:gridCol w:w="109"/>
        <w:gridCol w:w="109"/>
        <w:gridCol w:w="654"/>
        <w:gridCol w:w="1579"/>
        <w:gridCol w:w="321"/>
        <w:gridCol w:w="109"/>
        <w:gridCol w:w="109"/>
        <w:gridCol w:w="109"/>
        <w:gridCol w:w="109"/>
        <w:gridCol w:w="109"/>
        <w:gridCol w:w="592"/>
        <w:gridCol w:w="1419"/>
        <w:gridCol w:w="411"/>
      </w:tblGrid>
      <w:tr>
        <w:trPr/>
        <w:tc>
          <w:tcPr>
            <w:tcW w:w="16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units 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631,663 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683,336 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noncontrolling interest 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purchased recorded to additional paid-in-capital,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was also adjusted during the three and six months ended June 30, 2026 and 2025 due to the changes in Charter Holdings' ownership as follows: </w:t>
      </w:r>
    </w:p>
    <w:p>
      <w:pPr>
        <w:pStyle w:val="TextBody"/>
        <w:bidi w:val="0"/>
        <w:spacing w:before="0" w:after="0"/>
        <w:jc w:val="both"/>
        <w:rPr/>
      </w:pPr>
      <w:r>
        <w:rPr/>
      </w:r>
    </w:p>
    <w:tbl>
      <w:tblPr>
        <w:tblW w:w="9318" w:type="dxa"/>
        <w:jc w:val="center"/>
        <w:tblInd w:w="0" w:type="dxa"/>
        <w:tblLayout w:type="fixed"/>
        <w:tblCellMar>
          <w:top w:w="28" w:type="dxa"/>
          <w:left w:w="28" w:type="dxa"/>
          <w:bottom w:w="28" w:type="dxa"/>
          <w:right w:w="28" w:type="dxa"/>
        </w:tblCellMar>
      </w:tblPr>
      <w:tblGrid>
        <w:gridCol w:w="1428"/>
        <w:gridCol w:w="1255"/>
        <w:gridCol w:w="1261"/>
        <w:gridCol w:w="301"/>
        <w:gridCol w:w="622"/>
        <w:gridCol w:w="155"/>
        <w:gridCol w:w="155"/>
        <w:gridCol w:w="155"/>
        <w:gridCol w:w="155"/>
        <w:gridCol w:w="301"/>
        <w:gridCol w:w="622"/>
        <w:gridCol w:w="155"/>
        <w:gridCol w:w="109"/>
        <w:gridCol w:w="109"/>
        <w:gridCol w:w="109"/>
        <w:gridCol w:w="272"/>
        <w:gridCol w:w="562"/>
        <w:gridCol w:w="140"/>
        <w:gridCol w:w="140"/>
        <w:gridCol w:w="140"/>
        <w:gridCol w:w="140"/>
        <w:gridCol w:w="272"/>
        <w:gridCol w:w="562"/>
        <w:gridCol w:w="198"/>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noncontrolling interest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additional paid-in-capital, net of tax</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8.     Accounting for Derivative Instruments and Hedging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the Company's cross-currency derivatives, which are classified within Level 2 of the valuation hierarchy, was $442 million and $406 million and is included in other long-term liabilities on its consolidated balance sheets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financial instruments are recorded in other income (expenses), net in the consolidated statements of operations and consisted of the following.</w:t>
      </w:r>
    </w:p>
    <w:tbl>
      <w:tblPr>
        <w:tblW w:w="10205" w:type="dxa"/>
        <w:jc w:val="left"/>
        <w:tblInd w:w="0" w:type="dxa"/>
        <w:tblLayout w:type="fixed"/>
        <w:tblCellMar>
          <w:top w:w="28" w:type="dxa"/>
          <w:left w:w="28" w:type="dxa"/>
          <w:bottom w:w="28" w:type="dxa"/>
          <w:right w:w="28" w:type="dxa"/>
        </w:tblCellMar>
      </w:tblPr>
      <w:tblGrid>
        <w:gridCol w:w="1798"/>
        <w:gridCol w:w="1579"/>
        <w:gridCol w:w="1584"/>
        <w:gridCol w:w="298"/>
        <w:gridCol w:w="512"/>
        <w:gridCol w:w="154"/>
        <w:gridCol w:w="154"/>
        <w:gridCol w:w="154"/>
        <w:gridCol w:w="154"/>
        <w:gridCol w:w="298"/>
        <w:gridCol w:w="661"/>
        <w:gridCol w:w="154"/>
        <w:gridCol w:w="109"/>
        <w:gridCol w:w="109"/>
        <w:gridCol w:w="109"/>
        <w:gridCol w:w="261"/>
        <w:gridCol w:w="536"/>
        <w:gridCol w:w="135"/>
        <w:gridCol w:w="135"/>
        <w:gridCol w:w="135"/>
        <w:gridCol w:w="135"/>
        <w:gridCol w:w="261"/>
        <w:gridCol w:w="579"/>
        <w:gridCol w:w="201"/>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cross-currency derivative instruments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of Sterling Notes to U.S. dollars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Revenues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revenues by product line are as follows:</w:t>
      </w:r>
    </w:p>
    <w:p>
      <w:pPr>
        <w:pStyle w:val="TextBody"/>
        <w:bidi w:val="0"/>
        <w:spacing w:before="0" w:after="0"/>
        <w:jc w:val="left"/>
        <w:rPr/>
      </w:pPr>
      <w:r>
        <w:rPr/>
      </w:r>
    </w:p>
    <w:tbl>
      <w:tblPr>
        <w:tblW w:w="7861" w:type="dxa"/>
        <w:jc w:val="center"/>
        <w:tblInd w:w="0" w:type="dxa"/>
        <w:tblLayout w:type="fixed"/>
        <w:tblCellMar>
          <w:top w:w="28" w:type="dxa"/>
          <w:left w:w="28" w:type="dxa"/>
          <w:bottom w:w="28" w:type="dxa"/>
          <w:right w:w="28" w:type="dxa"/>
        </w:tblCellMar>
      </w:tblPr>
      <w:tblGrid>
        <w:gridCol w:w="891"/>
        <w:gridCol w:w="784"/>
        <w:gridCol w:w="78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service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Connectivity</w:t>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Mid-market &amp; large business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revenue</w:t>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sales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accounts receivable, net on the consolidated balance sheets includes approximately $1.4 billion and $1.3 billion of current equipment installment plan receivables, respectively, and other noncurrent assets includes approximately $1.2 billion and $1.1 billion of noncurrent equipment installment plan receivables,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operations are managed and reported to its Chief Executive Officer (“CEO”), the Company’s chief operating decision maker (“CODM”), on a consolidated basis. The Company provides broadband connectivity services with all of its services delivered to customers over an advanced communications network. The CODM assesses performance and allocates resources based on the Company’s consolidated statements of operations, as the converged network requires the CODM to manage and evaluate the results of the business in a consolidated manner to drive efficiencies and develop uniform strategies. Accordingly, key components and processes of the Company’s operations are managed centrally, including contracting for programming, capital and new technology development and deployment, plant engineering, customer service, marketing, legal and government affairs. Segment asset information is not used by the CODM to allocate resources. Under this organizational and reporting structure, the Company has one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single reportable segment entity, the Company’s segment performance measure is net income attributable to Charter shareholders. See Note 9 for a description of the Company's disaggregated revenues by product line. Significant segment expenses are presented in the Company’s consolidated statements of operations. Additional disaggregated significant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expenses on a functional basis, that are not separately presented on the Company’s consolidated statements of operations, are presented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Costs and Expenses</w:t>
      </w:r>
    </w:p>
    <w:p>
      <w:pPr>
        <w:pStyle w:val="TextBody"/>
        <w:bidi w:val="0"/>
        <w:spacing w:before="0" w:after="0"/>
        <w:jc w:val="both"/>
        <w:rPr/>
      </w:pPr>
      <w:r>
        <w:rPr/>
      </w:r>
    </w:p>
    <w:tbl>
      <w:tblPr>
        <w:tblW w:w="8988" w:type="dxa"/>
        <w:jc w:val="center"/>
        <w:tblInd w:w="0" w:type="dxa"/>
        <w:tblLayout w:type="fixed"/>
        <w:tblCellMar>
          <w:top w:w="28" w:type="dxa"/>
          <w:left w:w="28" w:type="dxa"/>
          <w:bottom w:w="28" w:type="dxa"/>
          <w:right w:w="28" w:type="dxa"/>
        </w:tblCellMar>
      </w:tblPr>
      <w:tblGrid>
        <w:gridCol w:w="1298"/>
        <w:gridCol w:w="1141"/>
        <w:gridCol w:w="1146"/>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revenue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and technology operations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residential sales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(see Note 11)</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Programming costs consist primarily of costs paid to programmers for basic, premium, video on demand and pay-per-view programming. Other costs of revenue include costs directly related to providing Internet, mobile, video and voice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Field and technology operations costs include indirect costs incurred to manage the Company's inside and outside cable network, including labor for the non-capitalizable portion of customer installations and service and repairs. Customer operations costs include call center labor costs for customer care, billing costs, bad debt expense, and collections. Marketing and residential sales costs represent the costs of marketing residential and business Internet, mobile, video and voice services and costs to sell to current and potential non-bulk residential customers, including labor cost. Transition expenses represent incremental costs incurred to prepare for the integration of Cox Communications’ operations and to bring systems and processes into a uniform operating structure. See Note 2. Other expense includes corporate overhead costs, as well as certain indirect costs associated with Spectrum Business, Spectrum Reach, Spectrum Networks and Spectrum Community Solutions, including related sales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Operating Expenses, Net</w:t>
      </w:r>
    </w:p>
    <w:p>
      <w:pPr>
        <w:pStyle w:val="TextBody"/>
        <w:bidi w:val="0"/>
        <w:spacing w:before="0" w:after="0"/>
        <w:jc w:val="both"/>
        <w:rPr/>
      </w:pPr>
      <w:r>
        <w:rPr/>
      </w:r>
    </w:p>
    <w:tbl>
      <w:tblPr>
        <w:tblW w:w="7912" w:type="dxa"/>
        <w:jc w:val="center"/>
        <w:tblInd w:w="0" w:type="dxa"/>
        <w:tblLayout w:type="fixed"/>
        <w:tblCellMar>
          <w:top w:w="28" w:type="dxa"/>
          <w:left w:w="28" w:type="dxa"/>
          <w:bottom w:w="28" w:type="dxa"/>
          <w:right w:w="28" w:type="dxa"/>
        </w:tblCellMar>
      </w:tblPr>
      <w:tblGrid>
        <w:gridCol w:w="918"/>
        <w:gridCol w:w="805"/>
        <w:gridCol w:w="811"/>
        <w:gridCol w:w="328"/>
        <w:gridCol w:w="561"/>
        <w:gridCol w:w="169"/>
        <w:gridCol w:w="169"/>
        <w:gridCol w:w="169"/>
        <w:gridCol w:w="169"/>
        <w:gridCol w:w="328"/>
        <w:gridCol w:w="561"/>
        <w:gridCol w:w="169"/>
        <w:gridCol w:w="109"/>
        <w:gridCol w:w="109"/>
        <w:gridCol w:w="109"/>
        <w:gridCol w:w="278"/>
        <w:gridCol w:w="477"/>
        <w:gridCol w:w="144"/>
        <w:gridCol w:w="144"/>
        <w:gridCol w:w="144"/>
        <w:gridCol w:w="144"/>
        <w:gridCol w:w="278"/>
        <w:gridCol w:w="616"/>
        <w:gridCol w:w="203"/>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 costs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Special charges, net primarily includes severance costs and net amounts of litigation settlements. Merger and acquisition costs represent costs incurred primarily in connection with the Cox Transactions, such as advisory, legal and accounting fees, among others. Loss on disposal of assets, net includes a $90 million impairment on non-strategic assets during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Other Income (Expenses), Net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(expenses), net consist of the following for the periods presented:</w:t>
      </w:r>
    </w:p>
    <w:p>
      <w:pPr>
        <w:pStyle w:val="TextBody"/>
        <w:bidi w:val="0"/>
        <w:spacing w:before="0" w:after="0"/>
        <w:jc w:val="both"/>
        <w:rPr/>
      </w:pPr>
      <w:r>
        <w:rPr/>
      </w:r>
    </w:p>
    <w:tbl>
      <w:tblPr>
        <w:tblW w:w="9725" w:type="dxa"/>
        <w:jc w:val="center"/>
        <w:tblInd w:w="0" w:type="dxa"/>
        <w:tblLayout w:type="fixed"/>
        <w:tblCellMar>
          <w:top w:w="28" w:type="dxa"/>
          <w:left w:w="28" w:type="dxa"/>
          <w:bottom w:w="28" w:type="dxa"/>
          <w:right w:w="28" w:type="dxa"/>
        </w:tblCellMar>
      </w:tblPr>
      <w:tblGrid>
        <w:gridCol w:w="1575"/>
        <w:gridCol w:w="1383"/>
        <w:gridCol w:w="1391"/>
        <w:gridCol w:w="280"/>
        <w:gridCol w:w="619"/>
        <w:gridCol w:w="145"/>
        <w:gridCol w:w="145"/>
        <w:gridCol w:w="145"/>
        <w:gridCol w:w="145"/>
        <w:gridCol w:w="280"/>
        <w:gridCol w:w="719"/>
        <w:gridCol w:w="145"/>
        <w:gridCol w:w="109"/>
        <w:gridCol w:w="109"/>
        <w:gridCol w:w="109"/>
        <w:gridCol w:w="244"/>
        <w:gridCol w:w="628"/>
        <w:gridCol w:w="126"/>
        <w:gridCol w:w="126"/>
        <w:gridCol w:w="126"/>
        <w:gridCol w:w="126"/>
        <w:gridCol w:w="244"/>
        <w:gridCol w:w="628"/>
        <w:gridCol w:w="178"/>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investments, net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 (see Note 8)</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net (see Note 4)</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11.</w:t>
      </w:r>
      <w:r>
        <w:rPr>
          <w:color w:val="000000"/>
        </w:rPr>
        <w:t>     </w:t>
      </w:r>
      <w:r>
        <w:rPr>
          <w:rFonts w:ascii="Times New Roman;serif" w:hAnsi="Times New Roman;serif"/>
          <w:b/>
          <w:color w:val="000000"/>
          <w:sz w:val="20"/>
        </w:rPr>
        <w:t>Stock Compensation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Charter’s stock incentive plans provide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Charter granted the following equity awards for the periods presented.</w:t>
      </w:r>
    </w:p>
    <w:p>
      <w:pPr>
        <w:pStyle w:val="TextBody"/>
        <w:bidi w:val="0"/>
        <w:spacing w:before="0" w:after="0"/>
        <w:jc w:val="both"/>
        <w:rPr/>
      </w:pPr>
      <w:r>
        <w:rPr/>
      </w:r>
    </w:p>
    <w:tbl>
      <w:tblPr>
        <w:tblW w:w="8665" w:type="dxa"/>
        <w:jc w:val="center"/>
        <w:tblInd w:w="0" w:type="dxa"/>
        <w:tblLayout w:type="fixed"/>
        <w:tblCellMar>
          <w:top w:w="28" w:type="dxa"/>
          <w:left w:w="28" w:type="dxa"/>
          <w:bottom w:w="28" w:type="dxa"/>
          <w:right w:w="28" w:type="dxa"/>
        </w:tblCellMar>
      </w:tblPr>
      <w:tblGrid>
        <w:gridCol w:w="677"/>
        <w:gridCol w:w="596"/>
        <w:gridCol w:w="601"/>
        <w:gridCol w:w="576"/>
        <w:gridCol w:w="291"/>
        <w:gridCol w:w="291"/>
        <w:gridCol w:w="291"/>
        <w:gridCol w:w="291"/>
        <w:gridCol w:w="291"/>
        <w:gridCol w:w="503"/>
        <w:gridCol w:w="291"/>
        <w:gridCol w:w="291"/>
        <w:gridCol w:w="109"/>
        <w:gridCol w:w="109"/>
        <w:gridCol w:w="109"/>
        <w:gridCol w:w="603"/>
        <w:gridCol w:w="373"/>
        <w:gridCol w:w="258"/>
        <w:gridCol w:w="258"/>
        <w:gridCol w:w="258"/>
        <w:gridCol w:w="258"/>
        <w:gridCol w:w="603"/>
        <w:gridCol w:w="373"/>
        <w:gridCol w:w="364"/>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2,431,100 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1,447,300 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unrecognized compensation remaining to be recognized in future periods totaled $253 million for stock options, $549 million for restricted stock units and $3 million for restricted stock and the weighted average period over which they are expected to be recognized is two years for stock options and restricted stock units and ten months for restricted stock.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computed by dividing net income attributable to Charter shareholders by the weighted average number of shares of common stock outstanding during the period. Diluted earnings per common share considers the impact of potentially dilutive securities using the treasury stock and if-converted methods and is based on the weighted average number of shares used for the basic earnings per share calculation, adjusted for the dilutive effect of stock options, restricted stock units, restricted stock, equity awards with market conditions and Charter Holdings common units. Charter Holdings common units of 16 million for the three and six months ended June 30, 2026 and 2025 were not included in the computation of diluted earnings per share as their effect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CHARTER COMMUNICATIONS,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and where indicated)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the computation of diluted earnings per common share for the periods presented.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24"/>
        <w:gridCol w:w="1238"/>
        <w:gridCol w:w="1247"/>
        <w:gridCol w:w="302"/>
        <w:gridCol w:w="884"/>
        <w:gridCol w:w="121"/>
        <w:gridCol w:w="121"/>
        <w:gridCol w:w="121"/>
        <w:gridCol w:w="121"/>
        <w:gridCol w:w="302"/>
        <w:gridCol w:w="884"/>
        <w:gridCol w:w="121"/>
        <w:gridCol w:w="109"/>
        <w:gridCol w:w="109"/>
        <w:gridCol w:w="109"/>
        <w:gridCol w:w="302"/>
        <w:gridCol w:w="884"/>
        <w:gridCol w:w="114"/>
        <w:gridCol w:w="114"/>
        <w:gridCol w:w="114"/>
        <w:gridCol w:w="114"/>
        <w:gridCol w:w="302"/>
        <w:gridCol w:w="884"/>
        <w:gridCol w:w="164"/>
      </w:tblGrid>
      <w:tr>
        <w:trPr/>
        <w:tc>
          <w:tcPr>
            <w:tcW w:w="142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Charter shareholders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120,121,017 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138,205,810 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122,789,924 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139,889,251 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Assumed exercise or issuance of shares relating to </w:t>
              <w:br/>
              <w:t>stock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3,209,242 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121,255,667 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141,684,415 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123,969,262 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143,098,493 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common share attributable to </w:t>
              <w:br/>
              <w:t>Charter shareholders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 attributable to Charter shareholders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2024, Charter,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12, 2024, Charter and Liberty Broadband also entered into Amendment No. 1 to the Second Amended and Restated Stockholders Agreement and the Letter Agreement (the “Stockholders and Letter Agreement Amendment”). The Stockholders and Letter Agreement Amendment sets forth, among other things, the terms of Liberty Broadband’s participation in Charter’s share repurchases during the period between the execution of the Merger Agreement and the effective time of the Merger.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Pursuant to the Merger Agreement and Stockholders and Letter Agreement Amendment, in May 2026, Charter advanced a term loan to Liberty Broadband in the aggregate principal amount of approximately $359 million included in other noncurrent assets on the consolidated balance sheets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Management’s Discussion and Analysis of Financial Condition and Results of Operations.</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Inc. (together with its controlled subsidiaries, “Charter”) is a leading broadband connectivity company with services available to nearly 59 million homes and small to large businesses across 41 states through our Spectrum brand. Founded in 1993,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 Internet, Mobile, TV and Voice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Charter is a holding company whose principal asset is a controlling equity interest in Charter Communications Holdings, LLC (“Charter Holdings”), an indirect owner of Charter Communications Operating, LLC (“Charter Operating”) under which substantially all of the operations reside. All significant intercompany accounts and transactions among consolidated entities have been eliminated.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The Cox</w:t>
      </w:r>
      <w:r>
        <w:rPr>
          <w:color w:val="000000"/>
        </w:rPr>
        <w:t xml:space="preserve"> </w:t>
      </w:r>
      <w:r>
        <w:rPr>
          <w:rFonts w:ascii="Times New Roman;serif" w:hAnsi="Times New Roman;serif"/>
          <w:b/>
          <w:color w:val="000000"/>
          <w:sz w:val="20"/>
        </w:rPr>
        <w:t>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Transaction Agreement, at the closing of the Cox Transactions (the “Closing”):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Equity Sale, Charter will pay $3.5 billion in cash to Cox Enterprises;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combined entity will assume Cox Communications’ approximately $12.4 billion in outstanding net debt and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competitive environment continued to challenge our Internet customer growth in the second quarter of 2026 and we lost 172,000 Internet customers. Mobile lines grew by 406,000 while video customer losses improved versus the prior year period driven by improvements to our product offerings with customers finding value in bundling our seamless connectivity and entertainment products. 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We spent $391 million and $818 million on our subsidized rural construction initiative during the three and six months ended June 30, 2026, respectively, and activated approximately 127,000 and 216,000 subsidized rural passings,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realized revenue, Adjusted EBITDA and income from operations during the periods presented as follows (in millions; all percentages are calculated using whole numbers; minor differences may exist due to rounding):</w:t>
      </w:r>
    </w:p>
    <w:p>
      <w:pPr>
        <w:pStyle w:val="TextBody"/>
        <w:bidi w:val="0"/>
        <w:spacing w:before="0" w:after="0"/>
        <w:jc w:val="both"/>
        <w:rPr/>
      </w:pPr>
      <w:r>
        <w:rPr/>
      </w:r>
    </w:p>
    <w:tbl>
      <w:tblPr>
        <w:tblW w:w="9964" w:type="dxa"/>
        <w:jc w:val="center"/>
        <w:tblInd w:w="0" w:type="dxa"/>
        <w:tblLayout w:type="fixed"/>
        <w:tblCellMar>
          <w:top w:w="28" w:type="dxa"/>
          <w:left w:w="28" w:type="dxa"/>
          <w:bottom w:w="28" w:type="dxa"/>
          <w:right w:w="28" w:type="dxa"/>
        </w:tblCellMar>
      </w:tblPr>
      <w:tblGrid>
        <w:gridCol w:w="740"/>
        <w:gridCol w:w="648"/>
        <w:gridCol w:w="652"/>
        <w:gridCol w:w="211"/>
        <w:gridCol w:w="721"/>
        <w:gridCol w:w="109"/>
        <w:gridCol w:w="109"/>
        <w:gridCol w:w="109"/>
        <w:gridCol w:w="109"/>
        <w:gridCol w:w="211"/>
        <w:gridCol w:w="721"/>
        <w:gridCol w:w="109"/>
        <w:gridCol w:w="109"/>
        <w:gridCol w:w="109"/>
        <w:gridCol w:w="109"/>
        <w:gridCol w:w="240"/>
        <w:gridCol w:w="240"/>
        <w:gridCol w:w="551"/>
        <w:gridCol w:w="109"/>
        <w:gridCol w:w="109"/>
        <w:gridCol w:w="109"/>
        <w:gridCol w:w="211"/>
        <w:gridCol w:w="721"/>
        <w:gridCol w:w="109"/>
        <w:gridCol w:w="109"/>
        <w:gridCol w:w="109"/>
        <w:gridCol w:w="109"/>
        <w:gridCol w:w="211"/>
        <w:gridCol w:w="721"/>
        <w:gridCol w:w="109"/>
        <w:gridCol w:w="109"/>
        <w:gridCol w:w="109"/>
        <w:gridCol w:w="109"/>
        <w:gridCol w:w="240"/>
        <w:gridCol w:w="240"/>
        <w:gridCol w:w="614"/>
      </w:tblGrid>
      <w:tr>
        <w:trPr/>
        <w:tc>
          <w:tcPr>
            <w:tcW w:w="74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attributable to Charter shareholders plus net income attributable to noncontrolling interest, interest expense, net, income taxes, depreciation and amortization, stock compensation expense, other income (expenses), net and other operating (income) expenses, net, such as special charges, merger and acquisition costs and (gain) loss on sale or retirement of assets. See “Use of Adjusted EBITDA and Free Cash Flow” for further information on Adjusted EBITDA and free cash flow.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revenues decreased $240 million and $378 million during the three and six months ended June 30, 2026, respectively, compared to the corresponding periods in 2025 primarily due to a higher seamless entertainment allocation and fewer customer relationships, partly offset by mobile line growth. Adjusted EBITDA decreased $244 million and $370 million during the three and six months ended June 30, 2026, respectively, compared to the corresponding periods in 2025 primarily due to lower revenue and higher transition expenses incurred as we prepare to integrate Cox Communications. Income from operations was further impacted by a decrease in merger and acquisition costs.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customer statistics for connectivity, Internet, mobile, video and voice as of June 30, 2026 and 2025 (in thousands except per customer data and footnotes). </w:t>
      </w:r>
    </w:p>
    <w:p>
      <w:pPr>
        <w:pStyle w:val="TextBody"/>
        <w:bidi w:val="0"/>
        <w:spacing w:before="0" w:after="0"/>
        <w:jc w:val="both"/>
        <w:rPr/>
      </w:pPr>
      <w:r>
        <w:rPr/>
      </w:r>
    </w:p>
    <w:tbl>
      <w:tblPr>
        <w:tblW w:w="8109" w:type="dxa"/>
        <w:jc w:val="center"/>
        <w:tblInd w:w="0" w:type="dxa"/>
        <w:tblLayout w:type="fixed"/>
        <w:tblCellMar>
          <w:top w:w="28" w:type="dxa"/>
          <w:left w:w="28" w:type="dxa"/>
          <w:bottom w:w="28" w:type="dxa"/>
          <w:right w:w="28" w:type="dxa"/>
        </w:tblCellMar>
      </w:tblPr>
      <w:tblGrid>
        <w:gridCol w:w="2049"/>
        <w:gridCol w:w="1798"/>
        <w:gridCol w:w="1808"/>
        <w:gridCol w:w="211"/>
        <w:gridCol w:w="721"/>
        <w:gridCol w:w="109"/>
        <w:gridCol w:w="109"/>
        <w:gridCol w:w="109"/>
        <w:gridCol w:w="109"/>
        <w:gridCol w:w="211"/>
        <w:gridCol w:w="721"/>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as of</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20"/>
              </w:rPr>
              <w:t xml:space="preserve">2026 </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20"/>
              </w:rPr>
              <w:t xml:space="preserve">2025 </w:t>
            </w:r>
            <w:r>
              <w:rPr>
                <w:rFonts w:ascii="Times New Roman;serif" w:hAnsi="Times New Roman;serif"/>
                <w:b/>
                <w:color w:val="000000"/>
                <w:sz w:val="13"/>
              </w:rPr>
              <w:t>(a)</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Customer Relationships </w:t>
            </w:r>
            <w:r>
              <w:rPr>
                <w:rFonts w:ascii="Times New Roman;serif" w:hAnsi="Times New Roman;serif"/>
                <w:b/>
                <w:color w:val="000000"/>
                <w:sz w:val="13"/>
              </w:rPr>
              <w:t>(b)</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Customer Relationships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Monthly Residential Revenue per Residential Customer </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Monthly Small Business Revenue per Small Business Customer </w:t>
            </w:r>
            <w:r>
              <w:rPr>
                <w:rFonts w:ascii="Times New Roman;serif" w:hAnsi="Times New Roman;serif"/>
                <w:b w:val="false"/>
                <w:color w:val="000000"/>
                <w:sz w:val="13"/>
              </w:rPr>
              <w:t>(d)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Connectivity </w:t>
            </w:r>
            <w:r>
              <w:rPr>
                <w:rFonts w:ascii="Times New Roman;serif" w:hAnsi="Times New Roman;serif"/>
                <w:b/>
                <w:color w:val="000000"/>
                <w:sz w:val="13"/>
              </w:rPr>
              <w: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Connectivity Customers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Internet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Internet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Mobile Lines </w:t>
            </w:r>
            <w:r>
              <w:rPr>
                <w:rFonts w:ascii="Times New Roman;serif" w:hAnsi="Times New Roman;serif"/>
                <w:b/>
                <w:color w:val="000000"/>
                <w:sz w:val="13"/>
              </w:rPr>
              <w:t>(f)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Mobile Lines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Video</w:t>
            </w:r>
            <w:r>
              <w:rPr>
                <w:color w:val="000000"/>
              </w:rPr>
              <w:t xml:space="preserve"> </w:t>
            </w:r>
            <w:r>
              <w:rPr>
                <w:rFonts w:ascii="Times New Roman;serif" w:hAnsi="Times New Roman;serif"/>
                <w:b w:val="false"/>
                <w:color w:val="000000"/>
                <w:sz w:val="13"/>
              </w:rPr>
              <w:t>(g)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Video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Voice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Voice Customers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Mid-Market &amp; Large Business Primary Service Units ("PSUs") </w:t>
            </w:r>
            <w:r>
              <w:rPr>
                <w:rFonts w:ascii="Times New Roman;serif" w:hAnsi="Times New Roman;serif"/>
                <w:b/>
                <w:color w:val="000000"/>
                <w:sz w:val="13"/>
              </w:rPr>
              <w:t>(h)</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 xml:space="preserve">We calculate the aging of customer accounts based on the monthly billing cycle for each account in accordance with our collection policies. On that basis, as of June 30, 2026 and 2025, customers include approximately 84,000 and 99,400 customers, respectively, whose accounts were over 60 days past due, approximately 10,100 and 11,600 customers, respectively, whose accounts were over 90 days past due and approximately 13,400 and 18,900 customers, respectively, whose accounts were over 120 days past due. </w:t>
      </w:r>
    </w:p>
    <w:p>
      <w:pPr>
        <w:pStyle w:val="TextBody"/>
        <w:bidi w:val="0"/>
        <w:spacing w:lineRule="auto" w:line="288" w:before="0" w:after="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Customer relationships include the number of customers that receive one or more levels of service, encompassing Internet, mobile,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mid-market &amp; large business customer relationships. </w:t>
      </w:r>
    </w:p>
    <w:p>
      <w:pPr>
        <w:pStyle w:val="TextBody"/>
        <w:bidi w:val="0"/>
        <w:spacing w:lineRule="auto" w:line="288" w:before="0" w:after="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Monthly residential revenue per residential customer is calculated as total residential quarterly revenue divided by three divided by average residential customer relationships during the respective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Monthly small business revenue per small business customer is calculated as total small business quarterly revenue divided by three divided by average small business customer relationships during the respective quarter.</w:t>
      </w:r>
    </w:p>
    <w:p>
      <w:pPr>
        <w:pStyle w:val="TextBody"/>
        <w:bidi w:val="0"/>
        <w:spacing w:lineRule="auto" w:line="288" w:before="0" w:after="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Connectivity customers represent all customers receiving our Internet and/or mobile connectivity services.</w:t>
      </w:r>
    </w:p>
    <w:p>
      <w:pPr>
        <w:pStyle w:val="TextBody"/>
        <w:bidi w:val="0"/>
        <w:spacing w:lineRule="auto" w:line="288" w:before="0" w:after="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Mobile lines include phones and tablets which require one of our standard rate plans (e.g., "Unlimited" or "By the Gig"). Mobile lines exclude wearables and other devices that do not require standard phone rate plans.</w:t>
      </w:r>
    </w:p>
    <w:p>
      <w:pPr>
        <w:pStyle w:val="TextBody"/>
        <w:bidi w:val="0"/>
        <w:spacing w:lineRule="auto" w:line="288" w:before="0" w:after="0"/>
        <w:ind w:left="0" w:right="0" w:hanging="360"/>
        <w:jc w:val="both"/>
        <w:rPr/>
      </w:pPr>
      <w:r>
        <w:rPr>
          <w:rFonts w:ascii="Times New Roman;serif" w:hAnsi="Times New Roman;serif"/>
          <w:b w:val="false"/>
          <w:color w:val="000000"/>
          <w:sz w:val="13"/>
        </w:rPr>
        <w:t>(g)</w:t>
      </w:r>
      <w:r>
        <w:rPr>
          <w:rFonts w:ascii="Times New Roman;serif" w:hAnsi="Times New Roman;serif"/>
          <w:b w:val="false"/>
          <w:color w:val="000000"/>
          <w:sz w:val="20"/>
        </w:rPr>
        <w:t>Video customers only include customers that purchase Spectrum traditional or streaming linear video packages and exclude customers that only purchase streaming applications.</w:t>
      </w:r>
    </w:p>
    <w:p>
      <w:pPr>
        <w:pStyle w:val="TextBody"/>
        <w:bidi w:val="0"/>
        <w:spacing w:lineRule="auto" w:line="288" w:before="0" w:after="0"/>
        <w:ind w:left="0" w:right="0" w:hanging="360"/>
        <w:jc w:val="both"/>
        <w:rPr/>
      </w:pPr>
      <w:r>
        <w:rPr>
          <w:rFonts w:ascii="Times New Roman;serif" w:hAnsi="Times New Roman;serif"/>
          <w:b w:val="false"/>
          <w:color w:val="000000"/>
          <w:sz w:val="13"/>
        </w:rPr>
        <w:t>(h)</w:t>
      </w:r>
      <w:r>
        <w:rPr>
          <w:rFonts w:ascii="Times New Roman;serif" w:hAnsi="Times New Roman;serif"/>
          <w:b w:val="false"/>
          <w:color w:val="000000"/>
          <w:sz w:val="20"/>
        </w:rPr>
        <w:t>Mid-market &amp; large business PSUs represent the aggregate number of fiber service offerings counting each separate service offering at each customer location as an individual PSU.</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0"/>
        </w:rPr>
        <w:t>Critical Accounting Policies and Estimates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and the means by which we develop estimates, see “Item 7. Management’s Discussion and Analysis of Financial Condition and Results of Operations” in our 2025 Annual Report on Form 10-K. There have been no material changes from the critical accounting policies described in our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quantitative impairment analysis during the fourth quarter of 2025, the fair value of our franchise intangibles exceeded the carrying value by more than 10% in each unit of accounting. Considering the decline in Charter’s stock price during the quarter ending June 30, 2026, we continue to monitor factors that could impact the fair value of our franchises and goodwill. We do not view this recent decline as representing a fundamental change in the long-term results of our business. However, if the lower stock price persists, we may need to evaluate whether this market perception represents a sustained decline in the market value of our business and perform a quantitative impairment assessment to determine any potential impact on the carrying value of our franchises and 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consolidated statements of operations for the periods presented (dollars in millions, except per share data):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18"/>
        <w:gridCol w:w="1127"/>
        <w:gridCol w:w="1135"/>
        <w:gridCol w:w="268"/>
        <w:gridCol w:w="918"/>
        <w:gridCol w:w="112"/>
        <w:gridCol w:w="112"/>
        <w:gridCol w:w="112"/>
        <w:gridCol w:w="112"/>
        <w:gridCol w:w="268"/>
        <w:gridCol w:w="918"/>
        <w:gridCol w:w="112"/>
        <w:gridCol w:w="109"/>
        <w:gridCol w:w="109"/>
        <w:gridCol w:w="109"/>
        <w:gridCol w:w="268"/>
        <w:gridCol w:w="918"/>
        <w:gridCol w:w="109"/>
        <w:gridCol w:w="109"/>
        <w:gridCol w:w="109"/>
        <w:gridCol w:w="109"/>
        <w:gridCol w:w="268"/>
        <w:gridCol w:w="918"/>
        <w:gridCol w:w="158"/>
      </w:tblGrid>
      <w:tr>
        <w:trPr/>
        <w:tc>
          <w:tcPr>
            <w:tcW w:w="171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items shown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income </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Charter shareholders</w:t>
            </w:r>
          </w:p>
        </w:tc>
        <w:tc>
          <w:tcPr>
            <w:tcW w:w="2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ATTRIBUTABLE TO CHARTER SHAREHOLDERS: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120,121,017 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138,205,810 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139,889,251 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121,255,667 </w:t>
            </w:r>
          </w:p>
        </w:tc>
        <w:tc>
          <w:tcPr>
            <w:tcW w:w="1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141,684,415 </w:t>
            </w:r>
          </w:p>
        </w:tc>
        <w:tc>
          <w:tcPr>
            <w:tcW w:w="1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123,969,262 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143,098,493 </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Revenues.</w:t>
      </w:r>
      <w:r>
        <w:rPr>
          <w:color w:val="000000"/>
        </w:rPr>
        <w:t xml:space="preserve"> </w:t>
      </w:r>
      <w:r>
        <w:rPr>
          <w:rFonts w:ascii="Times New Roman;serif" w:hAnsi="Times New Roman;serif"/>
          <w:b w:val="false"/>
          <w:color w:val="000000"/>
          <w:sz w:val="20"/>
        </w:rPr>
        <w:t>Total revenues decreased $240 million and $378 million during the three and six months ended June 30, 2026, respectively, compared to the corresponding periods in 2025. The decrease was primarily due to a higher seamless entertainment allocation and lower customer relationships, partly offset by mobile line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by service offering were as follows (dollars in millions; all percentages are calculated using whole numbers; minor differences may exist due to rounding):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12"/>
        <w:gridCol w:w="715"/>
        <w:gridCol w:w="690"/>
        <w:gridCol w:w="211"/>
        <w:gridCol w:w="721"/>
        <w:gridCol w:w="109"/>
        <w:gridCol w:w="109"/>
        <w:gridCol w:w="109"/>
        <w:gridCol w:w="109"/>
        <w:gridCol w:w="211"/>
        <w:gridCol w:w="721"/>
        <w:gridCol w:w="109"/>
        <w:gridCol w:w="109"/>
        <w:gridCol w:w="109"/>
        <w:gridCol w:w="109"/>
        <w:gridCol w:w="255"/>
        <w:gridCol w:w="256"/>
        <w:gridCol w:w="551"/>
        <w:gridCol w:w="109"/>
        <w:gridCol w:w="109"/>
        <w:gridCol w:w="109"/>
        <w:gridCol w:w="211"/>
        <w:gridCol w:w="721"/>
        <w:gridCol w:w="109"/>
        <w:gridCol w:w="109"/>
        <w:gridCol w:w="109"/>
        <w:gridCol w:w="109"/>
        <w:gridCol w:w="211"/>
        <w:gridCol w:w="721"/>
        <w:gridCol w:w="109"/>
        <w:gridCol w:w="109"/>
        <w:gridCol w:w="109"/>
        <w:gridCol w:w="109"/>
        <w:gridCol w:w="255"/>
        <w:gridCol w:w="256"/>
        <w:gridCol w:w="61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Connectivity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Mid-market &amp; large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Internet revenues from our residential customers is attributable to the following (dollars in millions):</w:t>
      </w:r>
    </w:p>
    <w:p>
      <w:pPr>
        <w:pStyle w:val="TextBody"/>
        <w:bidi w:val="0"/>
        <w:spacing w:before="0" w:after="0"/>
        <w:jc w:val="both"/>
        <w:rPr/>
      </w:pPr>
      <w:r>
        <w:rPr/>
      </w:r>
    </w:p>
    <w:tbl>
      <w:tblPr>
        <w:tblW w:w="8006" w:type="dxa"/>
        <w:jc w:val="center"/>
        <w:tblInd w:w="0" w:type="dxa"/>
        <w:tblLayout w:type="fixed"/>
        <w:tblCellMar>
          <w:top w:w="28" w:type="dxa"/>
          <w:left w:w="28" w:type="dxa"/>
          <w:bottom w:w="28" w:type="dxa"/>
          <w:right w:w="28" w:type="dxa"/>
        </w:tblCellMar>
      </w:tblPr>
      <w:tblGrid>
        <w:gridCol w:w="1503"/>
        <w:gridCol w:w="1324"/>
        <w:gridCol w:w="1328"/>
        <w:gridCol w:w="489"/>
        <w:gridCol w:w="1117"/>
        <w:gridCol w:w="253"/>
        <w:gridCol w:w="109"/>
        <w:gridCol w:w="109"/>
        <w:gridCol w:w="109"/>
        <w:gridCol w:w="414"/>
        <w:gridCol w:w="945"/>
        <w:gridCol w:w="306"/>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residential Internet customers</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related to rate </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Internet customers decreased by 510,000 customers from June 30, 2025 to June 30,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mobile service revenues from our residential customers is attributable to the following (dollars in millions):</w:t>
      </w:r>
    </w:p>
    <w:p>
      <w:pPr>
        <w:pStyle w:val="TextBody"/>
        <w:bidi w:val="0"/>
        <w:spacing w:before="0" w:after="0"/>
        <w:jc w:val="both"/>
        <w:rPr/>
      </w:pPr>
      <w:r>
        <w:rPr/>
      </w:r>
    </w:p>
    <w:tbl>
      <w:tblPr>
        <w:tblW w:w="7465" w:type="dxa"/>
        <w:jc w:val="center"/>
        <w:tblInd w:w="0" w:type="dxa"/>
        <w:tblLayout w:type="fixed"/>
        <w:tblCellMar>
          <w:top w:w="28" w:type="dxa"/>
          <w:left w:w="28" w:type="dxa"/>
          <w:bottom w:w="28" w:type="dxa"/>
          <w:right w:w="28" w:type="dxa"/>
        </w:tblCellMar>
      </w:tblPr>
      <w:tblGrid>
        <w:gridCol w:w="1307"/>
        <w:gridCol w:w="1152"/>
        <w:gridCol w:w="1155"/>
        <w:gridCol w:w="497"/>
        <w:gridCol w:w="1101"/>
        <w:gridCol w:w="261"/>
        <w:gridCol w:w="109"/>
        <w:gridCol w:w="109"/>
        <w:gridCol w:w="109"/>
        <w:gridCol w:w="422"/>
        <w:gridCol w:w="934"/>
        <w:gridCol w:w="309"/>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average residential mobile lines</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related to rate </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mobile lines increased by approximately 1.6 million mobile lines from June 30, 2025 to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Video revenues consist primarily of revenues from video services provided to our residential customers, as well as franchise fees, equipment service fees and video installation revenue. The decrease in video revenues is attributable to the following (dollars in millions):</w:t>
      </w:r>
    </w:p>
    <w:p>
      <w:pPr>
        <w:pStyle w:val="TextBody"/>
        <w:bidi w:val="0"/>
        <w:spacing w:before="0" w:after="0"/>
        <w:jc w:val="both"/>
        <w:rPr/>
      </w:pPr>
      <w:r>
        <w:rPr/>
      </w:r>
    </w:p>
    <w:tbl>
      <w:tblPr>
        <w:tblW w:w="7931" w:type="dxa"/>
        <w:jc w:val="center"/>
        <w:tblInd w:w="0" w:type="dxa"/>
        <w:tblLayout w:type="fixed"/>
        <w:tblCellMar>
          <w:top w:w="28" w:type="dxa"/>
          <w:left w:w="28" w:type="dxa"/>
          <w:bottom w:w="28" w:type="dxa"/>
          <w:right w:w="28" w:type="dxa"/>
        </w:tblCellMar>
      </w:tblPr>
      <w:tblGrid>
        <w:gridCol w:w="1477"/>
        <w:gridCol w:w="1300"/>
        <w:gridCol w:w="1303"/>
        <w:gridCol w:w="489"/>
        <w:gridCol w:w="1117"/>
        <w:gridCol w:w="253"/>
        <w:gridCol w:w="109"/>
        <w:gridCol w:w="109"/>
        <w:gridCol w:w="109"/>
        <w:gridCol w:w="414"/>
        <w:gridCol w:w="945"/>
        <w:gridCol w:w="306"/>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seamless entertainment allocation</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rate and product mix changes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residential video customers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Seamless entertainment allocation represents costs allocated to programmer streaming applications and netted within video revenue. The increase in seamless entertainment allocation is due to growth in seamless entertainment applications and higher activations. The decrease related to rate and product mix was primarily due to a higher mix of lower priced video packages within our video customer base and more unfavorable bundled revenue allocation, partly offset by promotional rate step-ups and video rate adjustments that pass-through programming rate increases. Residential video customers decreased by 77,000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voice revenues from our residential customers is attributable to the following (dollars in millions):</w:t>
      </w:r>
    </w:p>
    <w:p>
      <w:pPr>
        <w:pStyle w:val="TextBody"/>
        <w:bidi w:val="0"/>
        <w:spacing w:before="0" w:after="0"/>
        <w:jc w:val="both"/>
        <w:rPr/>
      </w:pPr>
      <w:r>
        <w:rPr/>
      </w:r>
    </w:p>
    <w:tbl>
      <w:tblPr>
        <w:tblW w:w="7826" w:type="dxa"/>
        <w:jc w:val="center"/>
        <w:tblInd w:w="0" w:type="dxa"/>
        <w:tblLayout w:type="fixed"/>
        <w:tblCellMar>
          <w:top w:w="28" w:type="dxa"/>
          <w:left w:w="28" w:type="dxa"/>
          <w:bottom w:w="28" w:type="dxa"/>
          <w:right w:w="28" w:type="dxa"/>
        </w:tblCellMar>
      </w:tblPr>
      <w:tblGrid>
        <w:gridCol w:w="1438"/>
        <w:gridCol w:w="1266"/>
        <w:gridCol w:w="1271"/>
        <w:gridCol w:w="563"/>
        <w:gridCol w:w="1005"/>
        <w:gridCol w:w="292"/>
        <w:gridCol w:w="109"/>
        <w:gridCol w:w="109"/>
        <w:gridCol w:w="109"/>
        <w:gridCol w:w="473"/>
        <w:gridCol w:w="844"/>
        <w:gridCol w:w="347"/>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residential voice customers</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rate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wireline voice customers decreased by 667,000 customers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small business revenues is attributable to the following (dollars in millions):</w:t>
      </w:r>
    </w:p>
    <w:p>
      <w:pPr>
        <w:pStyle w:val="TextBody"/>
        <w:bidi w:val="0"/>
        <w:spacing w:before="0" w:after="0"/>
        <w:jc w:val="both"/>
        <w:rPr/>
      </w:pPr>
      <w:r>
        <w:rPr/>
      </w:r>
    </w:p>
    <w:tbl>
      <w:tblPr>
        <w:tblW w:w="7872" w:type="dxa"/>
        <w:jc w:val="center"/>
        <w:tblInd w:w="0" w:type="dxa"/>
        <w:tblLayout w:type="fixed"/>
        <w:tblCellMar>
          <w:top w:w="28" w:type="dxa"/>
          <w:left w:w="28" w:type="dxa"/>
          <w:bottom w:w="28" w:type="dxa"/>
          <w:right w:w="28" w:type="dxa"/>
        </w:tblCellMar>
      </w:tblPr>
      <w:tblGrid>
        <w:gridCol w:w="1457"/>
        <w:gridCol w:w="1276"/>
        <w:gridCol w:w="1287"/>
        <w:gridCol w:w="575"/>
        <w:gridCol w:w="985"/>
        <w:gridCol w:w="300"/>
        <w:gridCol w:w="109"/>
        <w:gridCol w:w="109"/>
        <w:gridCol w:w="109"/>
        <w:gridCol w:w="483"/>
        <w:gridCol w:w="828"/>
        <w:gridCol w:w="354"/>
      </w:tblGrid>
      <w:tr>
        <w:trPr/>
        <w:tc>
          <w:tcPr>
            <w:tcW w:w="145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rate and product mix changes</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small business customers</w:t>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Small business customers decreased by 18,000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Mid-market &amp; large business revenues increased $21 million and $36 million during the three and six months ended June 30, 2026, respectively, compared to the corresponding periods in 2025 primarily due to an increase in Internet PSUs. Mid-market &amp; large business PSUs increased 14,000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sales revenues consist primarily of revenues from commercial advertising customers, programmers and other vendors, as well as local cable and advertising on regional sports and news channels. Advertising sales revenues increased $45 million and $63 million during the three and six months ended June 30, 2026, respectively, as compared to the corresponding periods in 2025 primarily due to an increase in political and streaming advertising revenue, partly offset by a decrease in linear advertising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$59 million and $172 million during the three and six months ended June 30, 2026, respectively, compared to the corresponding periods in 2025 primarily due to higher mobile device sales, partly offset by a one-time $45 million benefit in the prior year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costs and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decrease in our operating costs and expenses, exclusive of items shown separately in the consolidated statements of operations, are attributable to the following (dollars in millions):</w:t>
      </w:r>
    </w:p>
    <w:p>
      <w:pPr>
        <w:pStyle w:val="TextBody"/>
        <w:bidi w:val="0"/>
        <w:spacing w:before="0" w:after="0"/>
        <w:jc w:val="both"/>
        <w:rPr/>
      </w:pPr>
      <w:r>
        <w:rPr/>
      </w:r>
    </w:p>
    <w:tbl>
      <w:tblPr>
        <w:tblW w:w="6610" w:type="dxa"/>
        <w:jc w:val="center"/>
        <w:tblInd w:w="0" w:type="dxa"/>
        <w:tblLayout w:type="fixed"/>
        <w:tblCellMar>
          <w:top w:w="28" w:type="dxa"/>
          <w:left w:w="28" w:type="dxa"/>
          <w:bottom w:w="28" w:type="dxa"/>
          <w:right w:w="28" w:type="dxa"/>
        </w:tblCellMar>
      </w:tblPr>
      <w:tblGrid>
        <w:gridCol w:w="999"/>
        <w:gridCol w:w="878"/>
        <w:gridCol w:w="882"/>
        <w:gridCol w:w="489"/>
        <w:gridCol w:w="1117"/>
        <w:gridCol w:w="253"/>
        <w:gridCol w:w="109"/>
        <w:gridCol w:w="109"/>
        <w:gridCol w:w="109"/>
        <w:gridCol w:w="414"/>
        <w:gridCol w:w="945"/>
        <w:gridCol w:w="30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revenue</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and technology operations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residential sales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Programming costs were approximately $2.0 billion and $2.3 billion for the three months ended June 30, 2026 and 2025, representing 25% and 27% of total operating costs and expenses, respectively, and $4.1 billion and $4.6 billion for the six months ended June 30, 2026 and 2025, representing 25% and 28% of total operating costs and expenses, respectively. Programming costs consist primarily of costs paid to programmers for basic, premium, video on demand, and pay-per-view programming. Programming costs decreased as a result of a $184 million and $355 million increase in costs allocated to seamless entertainment applications and netted within video revenue during the three and six months ended June 30, 2026, respectively, compared to the corresponding periods in 2025 as well as a higher mix of lower cost video packages within our video customer base and fewer video customers, partly offset by contractual rate adjustments, including renewals and increases in amounts paid for retransmission consent.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costs of revenue increased $186 million and $367 million during the three and six months ended June 30, 2026, respectively, compared to the corresponding periods in 2025 primarily due to higher mobile device sales and mobile service direct costs due to an increase in mobile lines as well as higher advertising sales costs given higher political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Transition expenses represent incremental costs incurred to prepare for the integration of Cox Communications’ operations and to bring systems and processes into a uniform operating structure.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$21 million and $51 million during the three and six months ended June 30, 2026, respectively, compared to the corresponding periods in 2025 primarily due to an increase in depreciation as a result of more recent capital expenditures, partly offset by certain assets becoming fully depreciated.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0"/>
        </w:rPr>
        <w:t xml:space="preserve">Other operating expenses, net. </w:t>
      </w:r>
      <w:r>
        <w:rPr>
          <w:rFonts w:ascii="Times New Roman;serif" w:hAnsi="Times New Roman;serif"/>
          <w:b w:val="false"/>
          <w:color w:val="000000"/>
          <w:sz w:val="20"/>
        </w:rPr>
        <w:t>The change in other operating expenses, net is attributable to the following (dollars in millions):</w:t>
      </w:r>
    </w:p>
    <w:p>
      <w:pPr>
        <w:pStyle w:val="TextBody"/>
        <w:bidi w:val="0"/>
        <w:spacing w:before="0" w:after="0"/>
        <w:jc w:val="both"/>
        <w:rPr/>
      </w:pPr>
      <w:r>
        <w:rPr/>
      </w:r>
    </w:p>
    <w:tbl>
      <w:tblPr>
        <w:tblW w:w="6386" w:type="dxa"/>
        <w:jc w:val="center"/>
        <w:tblInd w:w="0" w:type="dxa"/>
        <w:tblLayout w:type="fixed"/>
        <w:tblCellMar>
          <w:top w:w="28" w:type="dxa"/>
          <w:left w:w="28" w:type="dxa"/>
          <w:bottom w:w="28" w:type="dxa"/>
          <w:right w:w="28" w:type="dxa"/>
        </w:tblCellMar>
      </w:tblPr>
      <w:tblGrid>
        <w:gridCol w:w="918"/>
        <w:gridCol w:w="805"/>
        <w:gridCol w:w="811"/>
        <w:gridCol w:w="563"/>
        <w:gridCol w:w="1005"/>
        <w:gridCol w:w="292"/>
        <w:gridCol w:w="109"/>
        <w:gridCol w:w="109"/>
        <w:gridCol w:w="109"/>
        <w:gridCol w:w="414"/>
        <w:gridCol w:w="945"/>
        <w:gridCol w:w="306"/>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 costs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10 to the accompanying consolidated financial statements contained in “Item 1. Financial Statements” for more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 xml:space="preserve">Net interest expense increased by $13 million and $28 million for the three and six months ended June 30, 2026, respectively, compared to the corresponding periods in 2025 primarily due to an increase in weighted average debt.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Other income (expenses), net. </w:t>
      </w:r>
      <w:r>
        <w:rPr>
          <w:rFonts w:ascii="Times New Roman;serif" w:hAnsi="Times New Roman;serif"/>
          <w:b w:val="false"/>
          <w:color w:val="000000"/>
          <w:sz w:val="20"/>
        </w:rPr>
        <w:t>The change in other income (expenses), net is attributable to the following (dollars in millions):</w:t>
      </w:r>
    </w:p>
    <w:p>
      <w:pPr>
        <w:pStyle w:val="TextBody"/>
        <w:bidi w:val="0"/>
        <w:spacing w:before="0" w:after="0"/>
        <w:jc w:val="both"/>
        <w:rPr/>
      </w:pPr>
      <w:r>
        <w:rPr/>
      </w:r>
    </w:p>
    <w:tbl>
      <w:tblPr>
        <w:tblW w:w="8200" w:type="dxa"/>
        <w:jc w:val="center"/>
        <w:tblInd w:w="0" w:type="dxa"/>
        <w:tblLayout w:type="fixed"/>
        <w:tblCellMar>
          <w:top w:w="28" w:type="dxa"/>
          <w:left w:w="28" w:type="dxa"/>
          <w:bottom w:w="28" w:type="dxa"/>
          <w:right w:w="28" w:type="dxa"/>
        </w:tblCellMar>
      </w:tblPr>
      <w:tblGrid>
        <w:gridCol w:w="1575"/>
        <w:gridCol w:w="1383"/>
        <w:gridCol w:w="1391"/>
        <w:gridCol w:w="497"/>
        <w:gridCol w:w="1101"/>
        <w:gridCol w:w="261"/>
        <w:gridCol w:w="109"/>
        <w:gridCol w:w="109"/>
        <w:gridCol w:w="109"/>
        <w:gridCol w:w="422"/>
        <w:gridCol w:w="934"/>
        <w:gridCol w:w="309"/>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investments, net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 (see Note 8)</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net (see Note 4)</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10 and the Notes referenced above to the accompanying consolidated financial statements contained in “Item 1. Financial Statements” for more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 xml:space="preserve">We recognized income tax expense of $475 million and $940 million for the three and six months ended June 30, 2026, respectively, and $414 million and $859 million for the three and six months ended June 30, 2025,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income attributable to noncontrolling interest.</w:t>
      </w:r>
      <w:r>
        <w:rPr>
          <w:color w:val="000000"/>
        </w:rPr>
        <w:t xml:space="preserve"> </w:t>
      </w:r>
      <w:r>
        <w:rPr>
          <w:rFonts w:ascii="Times New Roman;serif" w:hAnsi="Times New Roman;serif"/>
          <w:b w:val="false"/>
          <w:color w:val="000000"/>
          <w:sz w:val="20"/>
        </w:rPr>
        <w:t>Net income attributable to noncontrolling interest for financial reporting purposes represents Advance/Newhouse Partnership's (“A/N”) portion of Charter Holdings’ net income based on its effective common unit ownership interest. For more information, see Note 7 to the accompanying consolidated financial statements contained in “Item 1.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income attributable to Charter shareholders.</w:t>
      </w:r>
      <w:r>
        <w:rPr>
          <w:color w:val="000000"/>
        </w:rPr>
        <w:t xml:space="preserve"> </w:t>
      </w:r>
      <w:r>
        <w:rPr>
          <w:rFonts w:ascii="Times New Roman;serif" w:hAnsi="Times New Roman;serif"/>
          <w:b w:val="false"/>
          <w:color w:val="000000"/>
          <w:sz w:val="20"/>
        </w:rPr>
        <w:t xml:space="preserve">Net income attributable to Charter shareholders decreased $9 million and $63 million during the three and six months ended June 30, 2026, respectively, compared to the corresponding periods in 2025 primarily as a result of the factors described above.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Use of Adjusted EBITDA</w:t>
      </w:r>
      <w:r>
        <w:rPr>
          <w:color w:val="000000"/>
        </w:rPr>
        <w:t xml:space="preserve"> </w:t>
      </w:r>
      <w:r>
        <w:rPr>
          <w:rFonts w:ascii="Times New Roman;serif" w:hAnsi="Times New Roman;serif"/>
          <w:b/>
          <w:color w:val="000000"/>
          <w:sz w:val="20"/>
        </w:rPr>
        <w:t>and 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us, may not be comparable to similarly titled measures used by other companies. Adjusted EBITDA and free cash flow are reconciled to net income attributable to Charter shareholders and net cash flows from operating activities, respectively,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net cash flows from operating activities, less capital expenditures and changes in accrued expenses related to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Securities and Exchange Commission (the “SEC”)). For the purpose of calculating compliance with leverage covenants, we use Adjusted EBITDA, as presented, excluding certain expenses paid by our operating subsidiaries to other Charter entities. Our debt covenants refer to these expenses as management fees which were $336 million and $702 million for the three and six months ended June 30, 2026, respectively, and $366 million and $732 million for the three and six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Adjusted EBITDA and free cash flow to net income attributable to Charter shareholders and net cash flows from operating activities, respectively, is as follows (dollars in millions):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46"/>
        <w:gridCol w:w="1529"/>
        <w:gridCol w:w="1538"/>
        <w:gridCol w:w="249"/>
        <w:gridCol w:w="731"/>
        <w:gridCol w:w="129"/>
        <w:gridCol w:w="129"/>
        <w:gridCol w:w="129"/>
        <w:gridCol w:w="129"/>
        <w:gridCol w:w="249"/>
        <w:gridCol w:w="731"/>
        <w:gridCol w:w="129"/>
        <w:gridCol w:w="109"/>
        <w:gridCol w:w="109"/>
        <w:gridCol w:w="109"/>
        <w:gridCol w:w="211"/>
        <w:gridCol w:w="721"/>
        <w:gridCol w:w="109"/>
        <w:gridCol w:w="109"/>
        <w:gridCol w:w="109"/>
        <w:gridCol w:w="109"/>
        <w:gridCol w:w="211"/>
        <w:gridCol w:w="721"/>
        <w:gridCol w:w="160"/>
      </w:tblGrid>
      <w:tr>
        <w:trPr/>
        <w:tc>
          <w:tcPr>
            <w:tcW w:w="174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Charter shareholders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income attributable to noncontrolling interest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operating activities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plant and equipment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expenses related to capital expenditures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amounts of debt and require significant cash to fund principal and interest payments on our debt. The principal amount of our debt as of June 30, 2026 was $93.8 billion, consisting of $12.5 billion of credit facility debt, $54.7 billion of investment grade senior secured notes and $26.7 billion of high-yield senior unsecured notes. Our split credit rating allows us to access both the investment grade debt and the high yield debt markets. Additionally, our bankruptcy remote special purpose vehicle is the borrower of a senior secured revolving credit facility to finance the purchase of equipment installment plan receivables with a number of financial institutions (the “EIP Financing Facility”). As of June 30, 2026, the carrying value of the EIP Financing Facility was $1.6 billion. For more information on the EIP Financing Facility, see Note 5 to the accompanying consolidated financial statements contained in “Item 1.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projected cash needs and projected sources of liquidity depend upon, among other things, our actual results, and the timing and amount of our expenditures. Free cash flow was $969 million and $2.3 billion for the three and six months ended June 30, 2026, respectively, and $1.0 billion and $2.6 billion for the three and six months ended June 30, 2025, respectively. See the table below for factors impacting free cash flow during the three and six months ended June 30, 2026 compared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corresponding prior periods. As of June 30, 2026, the amount available under our credit facilities was approximately $3.7 billion and cash on hand was approximately $509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and exchange offers or redemption provisions. In the second quarter of 2026, we executed an open market repurchase program and retired $1.2 billion in aggregate principal amount of various series of notes during the three and six months ended June 30, 2026. We are also required to fund approximately $4.2 billion of cash purchase price at the closing of the Cox Transactions. We believe we have sufficient liquidity from cash on hand, free cash flow and Charter Operating’s revolving credit facility as well as access to the capital markets to fund our projected cash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stock repurchases and dividends. Charter's leverage ratio of net debt to the last twelve months Adjusted EBITDA was 4.18 times as of June 30, 2026. Charter plans to maintain a leverage ratio, pro forma for the closing of the Liberty Broadband Corporation (“Liberty Broadband”) Combination near the midpoint of its stated range of 4.0 to 4.5 times Adjusted EBITDA in the period leading up to the Closing, and up to 3.5 times Adjusted EBITDA at the Charter Operating first lien level. Charter plans to adjust its long-term target leverage after the Closing to 3.5 times Adjusted EBITDA. We currently expect to decrease the total amount of our indebtedness to achieve Charter’s target leverage.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purchases from Liberty Broadband discussed below, during the three and six months ended June 30, 2026, Charter purchased in the public market approximately 2.1 million and 5.5 million shares of Charter Class A common stock, respectively, for approximately $433 million and $1.2 billion, respectively, and during the three and six months ended June 30, 2025, Charter purchased in the public market approximately 3.0 million and 4.2 million shares of Charter Class A common stock, respectively, for approximately $1.1 billion and $1.6 billion, respectively. Since the beginning of its buyback program in September 2016 through June 30, 2026, Charter has purchased approximately 188.0 million shares of Class A common stock and Charter Holdings common units for approximately $80.6 billion, including purchases from Liberty Broadband and A/N discussed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2024, Charter,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2024, Charter and Liberty Broadband also entered into Amendment No. 1 to the Second Amended and Restated Stockholders Agreement and the Letter Agreement (the “Stockholders and Letter Agreement Amendment”). The Stockholders and Letter Agreement Amendment sets forth, among other things, the terms of Liberty Broadband’s participation in Charter’s share repurchases during the period between the execution of the Merger Agreement and the effective time of the Merger.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an unrestricted cash balance of Liberty Broadband and its subsidiaries (other than GCI Holdings, LLC, GCI Spinco (as defined in the Merger Agreement) and their respective subsidiaries) of $50 million plus (y) the aggregate outstanding principal amount of the Liberty Broadband margin loan.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Second Amended and Restated Stockholders Agreement among Charter, Liberty Broadband and A/N, dated as of May 23, 2015 to the extent its ownership in Charter exceeds such ownership cap solely as a result of the repurchase provisions in the Stockholders and Letter Agreement Amendment. During the three and six months ended June 30, 2026, Charter purchased from Liberty Broadband 1.9 million and 2.8 million shares of Charter Class A common stock, respectively, for approximately $405 million and $595 million, respectively, and during the three and six months ended June 30, 2025, Charter purchased from Liberty Broadband 0.8 million and 1.6 million shares of Charter Class A common stock, respectively, for approximately $300 million and $600 million, respectively. Additionally, pursuant to the Merger Agreement and Stockholders and Letter Agreement Amendment, in May 2026, Charter advanced a term loan to Liberty Broadband in the aggregate principal amount of approximately $359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2016, Charter and A/N entered into a letter agreement, as amended in December 2017 (the “Existing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In connection with the Cox Transactions, Charter, Charter Holdings and A/N entered into an amendment to the Existing A/N Repurchase Letter, dated as of May 16, 2025 (the “A/N Repurchase Letter Amendment”) which sets forth, among other things, the updated terms of A/N’s participation in Charter’s share repurchases going forward. The right to participate pro rata in repurchases on the terms and conditions set forth in the A/N Repurchase Letter Amendment is effective only from the earlier of the Closing and, in the event the Transaction Agreement is terminated in accordance with its terms, the date of such termination (such earlier date, the “Trigger Date”). Prior to the Trigger Date, the Existing A/N Letter Agreement will remain in full force and continue to govern A/N’s participation in Charter’s share repurchases, except for certain specific amendments set forth in the A/N Repurchase Letter Amendment which became effective upon execution of the A/N Repurchase Letter Amendment, including, in certain circumstances, where A/N elects not to participate in redemptions by Charter Holdings because such participation would cause A/N’s equity interest in Charter to be less than 11% prior to the Trigger Date, A/N may, subject to certain conditions, elect to receive a tax loan from Charter Holdings on the terms set forth in the A/N Repurchase Letter Amendment and in definitive documents in form and substance reasonably satisfactory to Charter and A/N. During the three and six months ended June 30, 2025, Charter Holdings purchased from A/N 0.6 million and 0.7 million Charter Holdings common units for approximately $232 million and $252 million, respectively. Charter Holdings did not purchase any Charter Holdings common units from A/N during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4, 2025, Charter received a notice from A/N pursuant to the Existing Letter Agreement, whereby A/N notified Charter that A/N was suspending the standing share repurchase agreement between A/N and Charter (the “Suspension”). The Suspension took effect immediately after the first repurchase closing date under the Existing Letter Agreement to occur following the date of the notice. In the notice, A/N informed Charter that it intends for the Suspension to continue through the consummation of the closing of the Cox Transactions or the termination thereof, but reserved the right to end such Suspension before or after such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Charter had remaining board authority to purchase an additional $365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possibilities present attractive opportunities. However, there can be no assurance that we will actually complete any acquisitions, including the Cox Transactions or Liberty Broadband Combination, dispositions or system swaps, or that any such transactions will be material to our operations or results.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decreased $77 million and $269 million during the three and six months ended June 30, 2026, respectively, compared to the corresponding prior periods in 2025 due to the following (dollars in millions):</w:t>
      </w:r>
    </w:p>
    <w:p>
      <w:pPr>
        <w:pStyle w:val="TextBody"/>
        <w:bidi w:val="0"/>
        <w:spacing w:before="0" w:after="0"/>
        <w:jc w:val="both"/>
        <w:rPr/>
      </w:pPr>
      <w:r>
        <w:rPr/>
      </w:r>
    </w:p>
    <w:tbl>
      <w:tblPr>
        <w:tblW w:w="8395" w:type="dxa"/>
        <w:jc w:val="center"/>
        <w:tblInd w:w="0" w:type="dxa"/>
        <w:tblLayout w:type="fixed"/>
        <w:tblCellMar>
          <w:top w:w="28" w:type="dxa"/>
          <w:left w:w="28" w:type="dxa"/>
          <w:bottom w:w="28" w:type="dxa"/>
          <w:right w:w="28" w:type="dxa"/>
        </w:tblCellMar>
      </w:tblPr>
      <w:tblGrid>
        <w:gridCol w:w="1645"/>
        <w:gridCol w:w="1444"/>
        <w:gridCol w:w="1455"/>
        <w:gridCol w:w="489"/>
        <w:gridCol w:w="1117"/>
        <w:gridCol w:w="253"/>
        <w:gridCol w:w="109"/>
        <w:gridCol w:w="109"/>
        <w:gridCol w:w="109"/>
        <w:gridCol w:w="414"/>
        <w:gridCol w:w="945"/>
        <w:gridCol w:w="306"/>
      </w:tblGrid>
      <w:tr>
        <w:trPr/>
        <w:tc>
          <w:tcPr>
            <w:tcW w:w="16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Adjusted EBITDA</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capital expenditures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paid for taxes, net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paid for interest, net</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excluding mobile devices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mobile devices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Limitations on Distributions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by our subsidiaries to a parent company for payment of principal on parent company notes are restricted under CCO Holdings indentures governing CCO Holdings' indebtedness, unless there is no default under the applicable indenture, and unless CCO Holdings' leverage ratio test is met at the time of such distribution. As of June 30, 2026, there was no default under any of these indentures, and CCO Holdings met its leverage ratio test based on June 30, 2026 financial results. There can be no assurance that CCO Holdings will satisfy its leverage ratio test at the time of the contemplated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limitation on distributions under the various indentures, distributions by our subsidiaries may be limited by applicable law, including the Delaware Limited Liability Company Act, under which our subsidiaries may only make distributions if they have “surplus” as defined in the act.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Historical Operating, Investing, and 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Cash and Cash Equivalents. </w:t>
      </w:r>
      <w:r>
        <w:rPr>
          <w:rFonts w:ascii="Times New Roman;serif" w:hAnsi="Times New Roman;serif"/>
          <w:b w:val="false"/>
          <w:color w:val="000000"/>
          <w:sz w:val="20"/>
        </w:rPr>
        <w:t>We held $509 million and $477 million in cash and cash equivalents as of June 30, 2026 and December 31, 2025, respectively. In addition, we held $90 million and $121 million in restricted cash included in prepaid and other current assets in our consolidated balance sheets as of June 30, 2026 and December 31, 2025,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 xml:space="preserve">Net cash provided by operating activities increased $393 million during the six months ended June 30, 2026 compared to the six months ended June 30, 2025 primarily due to a decrease in cash paid for taxes and favorable changes in working capital, partly offset by lower Adjusted EBITDA.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Net cash used in investing activities was $6.2 billion and $5.4 billion for the six months ended June 30, 2026 and 2025, respectively. The increase in cash used was primarily due to an increase in capital expenditures and changes in accrued expenses related to capital expenditures.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Net cash used in financing activities decreased $213 million during the six months ended June 30, 2026 compared to the six months ended June 30, 2025 primarily due to an increase in short-term borrowings under our deferred payment program and a decrease in the purchase of treasury stock and noncontrolling interest, partly offset by an increase in the amount by which repayments of long-term debt exceeded borrowings.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20"/>
        </w:rPr>
        <w:t>Capital Expenditures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significant ongoing capital expenditure requirements.  Capital expenditures were $2.9 billion and $5.7 billion for the three and six months ended June 30, 2026, respectively, and $2.9 billion and $5.3 billion for the three and six months ended June 30, 2025, respectively.  The increase in capital expenditures during the six months ended June 30, 2026 compared to the corresponding period in 2025 was primarily driven by higher spend on network evolution and an increase in customer premise equipment, partly offset by a decrease in line extensions. See the table below for more details.</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expect full year 2026 capital expenditures, excluding impacts from the Cox Transactions, to total approximately $11.4 billion. The actual amount of capital expenditures in 2026 will depend on a number of factors including, but not limited to, the pace of our network evolution and expansion initiatives, supply chain timing and residential and business growth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capital expenditures are funded primarily from cash flows from operating activities and borrowings on our credit facility. In addition, our accrued expenses related to capital expenditures decreased by $162 million and increased by $47 million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major capital expenditures categories in accordance with National Cable and Telecommunications Association (“NCTA”) disclosure guidelines for the three and six months ended June 30, 2026 and 2025. These disclosure guidelines are not required disclosures under GAAP, nor do they impact our accounting for capital expenditures under GAAP (dollars in millions):</w:t>
      </w:r>
    </w:p>
    <w:p>
      <w:pPr>
        <w:pStyle w:val="TextBody"/>
        <w:bidi w:val="0"/>
        <w:spacing w:before="0" w:after="0"/>
        <w:jc w:val="both"/>
        <w:rPr/>
      </w:pPr>
      <w:r>
        <w:rPr/>
      </w:r>
    </w:p>
    <w:tbl>
      <w:tblPr>
        <w:tblW w:w="9381" w:type="dxa"/>
        <w:jc w:val="center"/>
        <w:tblInd w:w="0" w:type="dxa"/>
        <w:tblLayout w:type="fixed"/>
        <w:tblCellMar>
          <w:top w:w="28" w:type="dxa"/>
          <w:left w:w="28" w:type="dxa"/>
          <w:bottom w:w="28" w:type="dxa"/>
          <w:right w:w="28" w:type="dxa"/>
        </w:tblCellMar>
      </w:tblPr>
      <w:tblGrid>
        <w:gridCol w:w="1451"/>
        <w:gridCol w:w="1273"/>
        <w:gridCol w:w="1280"/>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premise equipment</w:t>
            </w:r>
            <w:r>
              <w:rPr>
                <w:color w:val="000000"/>
              </w:rPr>
              <w:t xml:space="preserve"> </w:t>
            </w:r>
            <w:r>
              <w:rPr>
                <w:rFonts w:ascii="Times New Roman;serif" w:hAnsi="Times New Roman;serif"/>
                <w:b w:val="false"/>
                <w:color w:val="000000"/>
                <w:sz w:val="13"/>
              </w:rPr>
              <w:t>(a)</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Scalable infrastructure </w:t>
            </w:r>
            <w:r>
              <w:rPr>
                <w:rFonts w:ascii="Times New Roman;serif" w:hAnsi="Times New Roman;serif"/>
                <w:b w:val="false"/>
                <w:color w:val="000000"/>
                <w:sz w:val="13"/>
              </w:rPr>
              <w:t>(b)</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Upgrade/rebuild </w:t>
            </w:r>
            <w:r>
              <w:rPr>
                <w:rFonts w:ascii="Times New Roman;serif" w:hAnsi="Times New Roman;serif"/>
                <w:b w:val="false"/>
                <w:color w:val="000000"/>
                <w:sz w:val="13"/>
              </w:rPr>
              <w:t>(c)</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Support capital </w:t>
            </w:r>
            <w:r>
              <w:rPr>
                <w:rFonts w:ascii="Times New Roman;serif" w:hAnsi="Times New Roman;serif"/>
                <w:b w:val="false"/>
                <w:color w:val="000000"/>
                <w:sz w:val="13"/>
              </w:rPr>
              <w:t>(d)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excluding line extensions</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Subsidized rural construction line extensions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line extensions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line extensions </w:t>
            </w:r>
            <w:r>
              <w:rPr>
                <w:rFonts w:ascii="Times New Roman;serif" w:hAnsi="Times New Roman;serif"/>
                <w:b w:val="false"/>
                <w:color w:val="000000"/>
                <w:sz w:val="13"/>
              </w:rPr>
              <w:t>(e)</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expenditures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which: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services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Subsidized rural construction initiative </w:t>
            </w:r>
            <w:r>
              <w:rPr>
                <w:rFonts w:ascii="Times New Roman;serif" w:hAnsi="Times New Roman;serif"/>
                <w:b w:val="false"/>
                <w:color w:val="000000"/>
                <w:sz w:val="13"/>
              </w:rPr>
              <w:t>(f)</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w:t>
            </w:r>
            <w:r>
              <w:rPr>
                <w:color w:val="000000"/>
              </w:rPr>
              <w:t xml:space="preserve"> </w:t>
            </w:r>
            <w:r>
              <w:rPr>
                <w:rFonts w:ascii="Times New Roman;serif" w:hAnsi="Times New Roman;serif"/>
                <w:b w:val="false"/>
                <w:color w:val="000000"/>
                <w:sz w:val="13"/>
              </w:rPr>
              <w:t>(g)</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Customer premise equipment includes equipment and devices located at the customer's premise used to deliver our Internet, video and voice services (e.g., modems, routers and set-top boxes), as well as installation costs.</w:t>
      </w:r>
    </w:p>
    <w:p>
      <w:pPr>
        <w:pStyle w:val="TextBody"/>
        <w:bidi w:val="0"/>
        <w:spacing w:lineRule="auto" w:line="288" w:before="0" w:after="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Scalable infrastructure includes costs, not related to customer premise equipment or our network, to secure growth of new customers or provide service enhancements (e.g., headend equipment).</w:t>
      </w:r>
    </w:p>
    <w:p>
      <w:pPr>
        <w:pStyle w:val="TextBody"/>
        <w:bidi w:val="0"/>
        <w:spacing w:lineRule="auto" w:line="288" w:before="0" w:after="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Upgrade/rebuild includes costs to modify or replace existing fiber/coaxial cable networks, including our network evolution initiative.</w:t>
      </w:r>
    </w:p>
    <w:p>
      <w:pPr>
        <w:pStyle w:val="TextBody"/>
        <w:bidi w:val="0"/>
        <w:spacing w:lineRule="auto" w:line="288" w:before="0" w:after="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Support capital includes costs associated with the replacement or enhancement of non-network assets (e.g., back-office systems, non-network equipment, land and buildings, vehicles, tools and test equipment).</w:t>
      </w:r>
    </w:p>
    <w:p>
      <w:pPr>
        <w:pStyle w:val="TextBody"/>
        <w:bidi w:val="0"/>
        <w:spacing w:lineRule="auto" w:line="288" w:before="0" w:after="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 xml:space="preserve">Line extensions include network costs associated with entering new service areas (e.g., fiber/coaxial cable, amplifiers, electronic equipment, make-ready and design engineering). </w:t>
      </w:r>
    </w:p>
    <w:p>
      <w:pPr>
        <w:pStyle w:val="TextBody"/>
        <w:bidi w:val="0"/>
        <w:spacing w:lineRule="auto" w:line="288" w:before="0" w:after="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The subsidized rural construction initiative subcategory includes projects for which we are receiving subsidies from federal, state and local governments, excluding customer premise equipment and installation.</w:t>
      </w:r>
    </w:p>
    <w:p>
      <w:pPr>
        <w:pStyle w:val="TextBody"/>
        <w:bidi w:val="0"/>
        <w:spacing w:lineRule="auto" w:line="288" w:before="0" w:after="0"/>
        <w:ind w:left="0" w:right="0" w:hanging="360"/>
        <w:jc w:val="both"/>
        <w:rPr/>
      </w:pPr>
      <w:r>
        <w:rPr>
          <w:rFonts w:ascii="Times New Roman;serif" w:hAnsi="Times New Roman;serif"/>
          <w:b w:val="false"/>
          <w:color w:val="000000"/>
          <w:sz w:val="13"/>
        </w:rPr>
        <w:t>(g)</w:t>
      </w:r>
      <w:r>
        <w:rPr>
          <w:rFonts w:ascii="Times New Roman;serif" w:hAnsi="Times New Roman;serif"/>
          <w:b w:val="false"/>
          <w:color w:val="000000"/>
          <w:sz w:val="20"/>
        </w:rPr>
        <w:t>Transition represents incremental capital costs incurred to prepare for the integration of Cox Communications’ operations and to bring systems and processes into a uniform operating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22 to the Annual Report on Form 10-K for the year ended December 31, 2025 for a discussion of recently issued accounting standards. There have been no material changes from the recently issued accounting standards described in our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Quantitative and Qualitative Disclosures About Market Risk.</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interest rate risk as previously disclosed in Part II, Item 7A of our Annual Report on Form 10-K for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under the supervision and with the participation of our management, including our Chief Executive Officer and Chief Financial Officer, we have evaluated the effectiveness of our design and operation of disclosure controls and procedures with respect to the information generated for use in this quarterly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evaluation, we believe that our controls provide such reasonable assurances.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was no change in our internal control over financial reporting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Legal Proceedings.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20 to our Annual Report on Form 10-K for the year ended December 31, 2025 for a discussion of legal proceedings. Within this section, we use a threshold of $1 million in disclosing environmental proceedings involving a governmental authority, if 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Annual Report on Form 10-K for the year ended December 31, 2025 includes "Risk Factors" under Item 1A of Part I. There have been no material changes from the risk factors described in our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Unregistered Sales of Equity Securities and Use of Proceeds.</w:t>
      </w:r>
    </w:p>
    <w:p>
      <w:pPr>
        <w:pStyle w:val="TextBody"/>
        <w:bidi w:val="0"/>
        <w:spacing w:before="0" w:after="0"/>
        <w:ind w:left="0" w:right="0" w:hanging="14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 by the Issuer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Charter’s purchases of equity securities completed during the second quarter of 2026 (dollars in millions, except per share amounts):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1"/>
        <w:gridCol w:w="300"/>
        <w:gridCol w:w="301"/>
        <w:gridCol w:w="550"/>
        <w:gridCol w:w="550"/>
        <w:gridCol w:w="552"/>
        <w:gridCol w:w="449"/>
        <w:gridCol w:w="449"/>
        <w:gridCol w:w="450"/>
        <w:gridCol w:w="976"/>
        <w:gridCol w:w="976"/>
        <w:gridCol w:w="979"/>
        <w:gridCol w:w="971"/>
        <w:gridCol w:w="971"/>
        <w:gridCol w:w="1390"/>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6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29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(2)</w:t>
            </w:r>
          </w:p>
        </w:tc>
        <w:tc>
          <w:tcPr>
            <w:tcW w:w="33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w:t>
            </w:r>
            <w:r>
              <w:rPr>
                <w:rFonts w:ascii="Times New Roman;serif" w:hAnsi="Times New Roman;serif"/>
                <w:b/>
                <w:color w:val="000000"/>
                <w:sz w:val="13"/>
              </w:rPr>
              <w:t>(2)</w:t>
            </w:r>
          </w:p>
        </w:tc>
      </w:tr>
      <w:tr>
        <w:trPr/>
        <w:tc>
          <w:tcPr>
            <w:tcW w:w="9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16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4,005,612</w:t>
            </w:r>
          </w:p>
        </w:tc>
        <w:tc>
          <w:tcPr>
            <w:tcW w:w="1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$228.65</w:t>
            </w:r>
          </w:p>
        </w:tc>
        <w:tc>
          <w:tcPr>
            <w:tcW w:w="2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2,370,455</w:t>
            </w:r>
          </w:p>
        </w:tc>
        <w:tc>
          <w:tcPr>
            <w:tcW w:w="33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1,596,910</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$195.62</w:t>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1,594,775</w:t>
            </w:r>
          </w:p>
        </w:tc>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40,405</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$158.47</w:t>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31,315</w:t>
            </w:r>
          </w:p>
        </w:tc>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1,635,157, 2,135 and 9,090 shares withheld from employees for the payment of taxes and exercise costs upon the exercise of stock options or vesting of other equity awards for the months of April, May and June 2026, respectively. </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During the three months ended June 30, 2026, Charter purchased approximately 4.0 million shares of its Class A common stock for approximately $838 million. As of June 30, 2026, Charter had remaining board authority to purchase an additional $365 million of Charter’s Class A common stock and/or Charter Holdings common units, excluding purchases from Liberty Broadband. In addition to open market purchases including pursuant to Rule 10b5-1 plans adopted from time to time, Charter may also buy shares of Charter Class A common stock, from time to time, pursuant to private transactions outside of its Rule 10b5-1 plan and any such repurchases may also trigger the repurchases from A/N pursuant to and to the extent provided in the Existing A/N Letter Agreement or Liberty Broadband pursuant to the Stockholders and Letter Agreement Amendment.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6.</w:t>
      </w:r>
      <w:r>
        <w:rPr>
          <w:color w:val="000000"/>
        </w:rPr>
        <w:t>     </w:t>
      </w:r>
      <w:r>
        <w:rPr>
          <w:rFonts w:ascii="Times New Roman;serif" w:hAnsi="Times New Roman;serif"/>
          <w:b/>
          <w:i/>
          <w:color w:val="000000"/>
          <w:sz w:val="20"/>
        </w:rPr>
        <w:t>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Charter Communications, Inc. has duly caused this quarterly report to be signed on its behalf by the undersigned, thereunto duly authorized.</w:t>
      </w:r>
    </w:p>
    <w:p>
      <w:pPr>
        <w:pStyle w:val="TextBody"/>
        <w:bidi w:val="0"/>
        <w:spacing w:before="0" w:after="0"/>
        <w:jc w:val="both"/>
        <w:rPr/>
      </w:pPr>
      <w:r>
        <w:rPr/>
      </w:r>
    </w:p>
    <w:tbl>
      <w:tblPr>
        <w:tblW w:w="9410" w:type="dxa"/>
        <w:jc w:val="center"/>
        <w:tblInd w:w="0" w:type="dxa"/>
        <w:tblLayout w:type="fixed"/>
        <w:tblCellMar>
          <w:top w:w="28" w:type="dxa"/>
          <w:left w:w="28" w:type="dxa"/>
          <w:bottom w:w="28" w:type="dxa"/>
          <w:right w:w="28" w:type="dxa"/>
        </w:tblCellMar>
      </w:tblPr>
      <w:tblGrid>
        <w:gridCol w:w="618"/>
        <w:gridCol w:w="544"/>
        <w:gridCol w:w="547"/>
        <w:gridCol w:w="356"/>
        <w:gridCol w:w="356"/>
        <w:gridCol w:w="356"/>
        <w:gridCol w:w="356"/>
        <w:gridCol w:w="356"/>
        <w:gridCol w:w="356"/>
        <w:gridCol w:w="1621"/>
        <w:gridCol w:w="1621"/>
        <w:gridCol w:w="232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CHARTER COMMUNICATIONS,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661"/>
        <w:gridCol w:w="2661"/>
        <w:gridCol w:w="380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Charter Communications, Inc. 2019 Stock Incentive Plan (incorporated by reference to Annex A to the definitive proxy statement for the Charter Communications, Inc. 2019 Annual Meeting of Stockholders filed on March 14, 2019).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Amendment to the Charter Communications, Inc. 2019 Stock Incentive Plan, dated as of January 28, 2020 (incorporated by reference to Exhibit 10.152 to the Annual Report on Form 10-K of Charter Communications, Inc. filed on January 31, 2020).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Second Amendment to the Charter Communications, Inc. 2019 Stock Incentive Plan, dated as of April 23, 2024 (incorporated by reference to Appendix B to the definitive proxy statement for the Charter Communications, Inc. 2024 Annual Meeting of Stockholders filed on March 14, 2024).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Third Amendment to Charter Communications, Inc. 2019 Stock Incentive Plan, dated as of April 21, 2026 (incorporated by reference to Appendix B to the Proxy Statement for the Charter Communications, Inc. 2026 Annual Meeting of Stockholders filed March 12,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Employment Agreement, dated as of May 15, 2026, between Charter Communications, Inc. and Jamal Haughton (incorporated by reference to Exhibit 10.1 to the Current Report on Form 8-K filed by Charter Communications, Inc. on May 19,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htr6302026exh-311.htm">
              <w:r>
                <w:rPr>
                  <w:rStyle w:val="InternetLink"/>
                  <w:rFonts w:ascii="Times New Roman;serif" w:hAnsi="Times New Roman;serif"/>
                  <w:b w:val="false"/>
                  <w:color w:val="0000FF"/>
                  <w:sz w:val="20"/>
                  <w:u w:val="single"/>
                </w:rPr>
                <w:t>Certificate of Chief Executive Officer pursuant to Rule 13a-14(a)/Rule 15d-14(a) under the under the Securities Exchange Act of 1934.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htr6302026exh-312.htm">
              <w:r>
                <w:rPr>
                  <w:rStyle w:val="InternetLink"/>
                  <w:rFonts w:ascii="Times New Roman;serif" w:hAnsi="Times New Roman;serif"/>
                  <w:b w:val="false"/>
                  <w:color w:val="0000FF"/>
                  <w:sz w:val="20"/>
                  <w:u w:val="single"/>
                </w:rPr>
                <w:t>Certificate of Chief Financial Officer pursuant to Rule 13a-14(a)/Rule 15d-14(a) under the Securities Exchange Act of 1934.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htr6302026exh-321.htm">
              <w:r>
                <w:rPr>
                  <w:rStyle w:val="InternetLink"/>
                  <w:rFonts w:ascii="Times New Roman;serif" w:hAnsi="Times New Roman;serif"/>
                  <w:b w:val="false"/>
                  <w:color w:val="0000FF"/>
                  <w:sz w:val="20"/>
                  <w:u w:val="single"/>
                </w:rPr>
                <w:t>Certification pursuant to 18 U.S.C. Section 1350, as adopted pursuant to Section 906 of the Sarbanes-Oxley Act of 2002 (Chief Executive Officer).</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htr6302026exh-322.htm">
              <w:r>
                <w:rPr>
                  <w:rStyle w:val="InternetLink"/>
                  <w:rFonts w:ascii="Times New Roman;serif" w:hAnsi="Times New Roman;serif"/>
                  <w:b w:val="false"/>
                  <w:color w:val="0000FF"/>
                  <w:sz w:val="20"/>
                  <w:u w:val="single"/>
                </w:rPr>
                <w:t>Certification pursuant to 18 U.S.C. Section 1350, as adopted pursuant to Section 906 of the Sarbanes-Oxley Act of 2002 (Chief Financial Officer).</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Charter Communications, Inc.’s Quarterly Report on Form 10-Q for the three and six months ended June 30, 2026, filed with the Securities and Exchange Commission on July 24, 2026, formatted in iXBRL (inline eXtensible Business Reporting Language) includes: (i) the Consolidated Balance Sheets; (ii) the Consolidated Statements of Operations; (iii) the Consolidated Statements of Changes in Shareholders' Equity; (iv) the Consolidated Statements of Cash Flows; and (vi) the Notes to the Consolidated Financial Statements.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in iXBRL and contained in Exhibit 101.</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L. Winfrey,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Charter Communications,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spacing w:before="0" w:after="0"/>
        <w:jc w:val="left"/>
        <w:rPr/>
      </w:pPr>
      <w:r>
        <w:rPr/>
      </w:r>
    </w:p>
    <w:tbl>
      <w:tblPr>
        <w:tblW w:w="2280" w:type="dxa"/>
        <w:jc w:val="left"/>
        <w:tblInd w:w="0" w:type="dxa"/>
        <w:tblLayout w:type="fixed"/>
        <w:tblCellMar>
          <w:top w:w="28" w:type="dxa"/>
          <w:left w:w="28" w:type="dxa"/>
          <w:bottom w:w="28" w:type="dxa"/>
          <w:right w:w="28" w:type="dxa"/>
        </w:tblCellMar>
      </w:tblPr>
      <w:tblGrid>
        <w:gridCol w:w="729"/>
        <w:gridCol w:w="640"/>
        <w:gridCol w:w="911"/>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L. Winfrey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Christopher L. Winfrey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Jessica M. Fischer, certify that: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Charter Communications,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spacing w:before="0" w:after="0"/>
        <w:jc w:val="left"/>
        <w:rPr/>
      </w:pPr>
      <w:r>
        <w:rPr/>
      </w:r>
    </w:p>
    <w:tbl>
      <w:tblPr>
        <w:tblW w:w="1859" w:type="dxa"/>
        <w:jc w:val="left"/>
        <w:tblInd w:w="0" w:type="dxa"/>
        <w:tblLayout w:type="fixed"/>
        <w:tblCellMar>
          <w:top w:w="28" w:type="dxa"/>
          <w:left w:w="28" w:type="dxa"/>
          <w:bottom w:w="28" w:type="dxa"/>
          <w:right w:w="28" w:type="dxa"/>
        </w:tblCellMar>
      </w:tblPr>
      <w:tblGrid>
        <w:gridCol w:w="594"/>
        <w:gridCol w:w="522"/>
        <w:gridCol w:w="743"/>
      </w:tblGrid>
      <w:tr>
        <w:trPr/>
        <w:tc>
          <w:tcPr>
            <w:tcW w:w="59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Jessica M. Fischer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Jessica M. Fischer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righ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OF CHIEF EXECUTIVE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OFFICER REGARDING PERIODIC REPORT CONTAINING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FINANCIAL STATEMENTS</w: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Christopher L. Winfrey, the President and Chief Executive Officer of Charter Communications, Inc. (the "Company") in compliance with 18 U.S.C. Section 1350, as adopted pursuant to Section 906 of the Sarbanes-Oxley Act of 2002, hereby certify that, the Company's Quarterly Report on Form 10-Q for the three and six months ended June 30, 2026 (the "Report") filed with the Securities and Exchange Commission: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fully complies with the requirements of Section 13(a) of the Securities Exchange Act of 1934;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p>
      <w:pPr>
        <w:pStyle w:val="TextBody"/>
        <w:bidi w:val="0"/>
        <w:spacing w:before="0" w:after="240"/>
        <w:jc w:val="left"/>
        <w:rPr/>
      </w:pPr>
      <w:r>
        <w:rPr/>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Christopher L. Winfrey</w:t>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Christopher L. Winfrey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July 24, 2026 </w:t>
      </w:r>
    </w:p>
    <w:p>
      <w:pPr>
        <w:pStyle w:val="TextBody"/>
        <w:bidi w:val="0"/>
        <w:spacing w:before="0" w:after="4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OF CHIEF FINANCIAL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OFFICER REGARDING PERIODIC REPORT CONTAINING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FINANCIAL STATEMENTS</w: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Jessica M. Fischer, the Chief Financial Officer of Charter Communications, Inc. (the "Company"), in compliance with 18 U.S.C. Section 1350, as adopted pursuant to Section 906 of the Sarbanes-Oxley Act of 2002, hereby certify that, the Company's Quarterly Report on Form 10-Q for the three and six months ended June 30, 2026 (the "Report") filed with the Securities and Exchange Commission: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fully complies with the requirements of Section 13(a) of the Securities Exchange Act of 1934;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p>
      <w:pPr>
        <w:pStyle w:val="TextBody"/>
        <w:bidi w:val="0"/>
        <w:spacing w:before="0" w:after="240"/>
        <w:jc w:val="both"/>
        <w:rPr/>
      </w:pPr>
      <w:r>
        <w:rPr/>
      </w:r>
    </w:p>
    <w:tbl>
      <w:tblPr>
        <w:tblW w:w="2159" w:type="dxa"/>
        <w:jc w:val="left"/>
        <w:tblInd w:w="0" w:type="dxa"/>
        <w:tblLayout w:type="fixed"/>
        <w:tblCellMar>
          <w:top w:w="28" w:type="dxa"/>
          <w:left w:w="28" w:type="dxa"/>
          <w:bottom w:w="28" w:type="dxa"/>
          <w:right w:w="28" w:type="dxa"/>
        </w:tblCellMar>
      </w:tblPr>
      <w:tblGrid>
        <w:gridCol w:w="691"/>
        <w:gridCol w:w="608"/>
        <w:gridCol w:w="860"/>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Jessica M. Fischer</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Jessica M. Fischer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Chief Financial Officer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July 24, 2026 </w:t>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091667/000119312519074765/d717086ddef14a.htm" TargetMode="External"/><Relationship Id="rId5" Type="http://schemas.openxmlformats.org/officeDocument/2006/relationships/hyperlink" Target="https://www.sec.gov/Archives/edgar/data/1091667/000109166720000024/chtr12312019exh-10152.htm" TargetMode="External"/><Relationship Id="rId6" Type="http://schemas.openxmlformats.org/officeDocument/2006/relationships/hyperlink" Target="https://www.sec.gov/ix?doc=/Archives/edgar/data/0001091667/000119312524067965/d534477ddef14a.htm" TargetMode="External"/><Relationship Id="rId7" Type="http://schemas.openxmlformats.org/officeDocument/2006/relationships/hyperlink" Target="https://www.sec.gov/ix?doc=/Archives/edgar/data/0001091667/000114036126009220/ny20062718x1_def14a.htm" TargetMode="External"/><Relationship Id="rId8" Type="http://schemas.openxmlformats.org/officeDocument/2006/relationships/hyperlink" Target="https://www.sec.gov/Archives/edgar/data/1091667/000109166726000032/chtr0515268kexh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17321</Words>
  <Characters>96900</Characters>
  <CharactersWithSpaces>113224</CharactersWithSpaces>
  <Paragraphs>2379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