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Liberty Broadband Corp</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CHARTER COMMUNICATIONS, INC.</w:t>
              </w:r>
            </w:hyperlink>
          </w:p>
        </w:tc>
        <w:tc>
          <w:tcPr>
            <w:tcW w:w="14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8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/MO/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5"/>
                <w:szCs w:val="5"/>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5"/>
                <w:szCs w:val="5"/>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8"/>
            <w:vMerge w:val="continue"/>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00" w:type="dxa"/>
            <w:vAlign w:val="bottom"/>
            <w:gridSpan w:val="8"/>
            <w:vMerge w:val="continue"/>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12300 LIBERTY BOULEVARD</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05/12/2026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400" w:type="dxa"/>
            <w:vAlign w:val="bottom"/>
            <w:tcBorders>
              <w:bottom w:val="single" w:sz="8" w:color="2C2C2C"/>
            </w:tcBorders>
            <w:gridSpan w:val="7"/>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8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820" w:type="dxa"/>
            <w:vAlign w:val="bottom"/>
            <w:gridSpan w:val="12"/>
            <w:vMerge w:val="continue"/>
          </w:tcPr>
          <w:p>
            <w:pPr>
              <w:spacing w:after="0"/>
              <w:rPr>
                <w:sz w:val="7"/>
                <w:szCs w:val="7"/>
                <w:color w:val="auto"/>
              </w:rPr>
            </w:pPr>
          </w:p>
        </w:tc>
        <w:tc>
          <w:tcPr>
            <w:tcW w:w="334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tcPr>
          <w:p>
            <w:pPr>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ENGLEWOOD CO</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80112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8"/>
          </w:tcPr>
          <w:p>
            <w:pPr>
              <w:ind w:left="2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00" w:type="dxa"/>
            <w:vAlign w:val="bottom"/>
            <w:gridSpan w:val="8"/>
          </w:tcPr>
          <w:p>
            <w:pPr>
              <w:ind w:left="28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2400" w:type="dxa"/>
            <w:vAlign w:val="bottom"/>
            <w:tcBorders>
              <w:bottom w:val="single" w:sz="8" w:color="2C2C2C"/>
            </w:tcBorders>
            <w:gridSpan w:val="7"/>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9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22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05/12/2026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w w:val="98"/>
                <w:vertAlign w:val="subscript"/>
              </w:rPr>
              <w:t>D</w:t>
            </w:r>
            <w:r>
              <w:rPr>
                <w:rFonts w:ascii="Times New Roman" w:cs="Times New Roman" w:eastAsia="Times New Roman" w:hAnsi="Times New Roman"/>
                <w:sz w:val="11"/>
                <w:szCs w:val="11"/>
                <w:color w:val="008000"/>
                <w:w w:val="98"/>
              </w:rPr>
              <w:t>(1)</w:t>
            </w:r>
          </w:p>
        </w:tc>
        <w:tc>
          <w:tcPr>
            <w:tcW w:w="42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1,262,078</w:t>
            </w:r>
          </w:p>
        </w:tc>
        <w:tc>
          <w:tcPr>
            <w:tcW w:w="16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5"/>
          </w:tcPr>
          <w:p>
            <w:pPr>
              <w:spacing w:after="0" w:line="213" w:lineRule="exact"/>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204.33</w:t>
            </w:r>
            <w:r>
              <w:rPr>
                <w:rFonts w:ascii="Times New Roman" w:cs="Times New Roman" w:eastAsia="Times New Roman" w:hAnsi="Times New Roman"/>
                <w:sz w:val="22"/>
                <w:szCs w:val="22"/>
                <w:color w:val="008000"/>
                <w:w w:val="98"/>
                <w:vertAlign w:val="superscript"/>
              </w:rPr>
              <w:t>(2)</w:t>
            </w:r>
          </w:p>
        </w:tc>
        <w:tc>
          <w:tcPr>
            <w:tcW w:w="1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38,754,785</w:t>
            </w:r>
          </w:p>
        </w:tc>
        <w:tc>
          <w:tcPr>
            <w:tcW w:w="3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wholly-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owned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subsidiaries</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40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8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3"/>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were sold to the Issuer in an exempt transaction pursuant to Rule 16b-3 under the Securities Exchange Act of 1934, as amended, pursuant to Section 5.22(f) of the Agreement and Plan of Merger, dated as of November 12, 2024, by and among the Reporting Person, the Issuer, Fusion Merger Sub 1, LLC and Fusion Merger Sub 2, Inc., which permits the Issuer to repurchase, subject to certain conditions, such shares prior to the consummation of the merger.</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Consistent with (i) the Amendment No. 1 to the Second Amended and Restated Stockholders Agreement and the Letter Agreement, as amended, dated as of November 12, 2024, by and among the Issuer, the Reporting Person and the other party thereto (the "Shareholders Agreement Amendment") and (ii) the letter agreement regarding stock repurchases, dated as of February 23, 2021, as amended, by and between the Issuer and the Reporting Person (the "Repurchase Letter Agreement"), the repurchase price was calculated as the average price at which the Issuer repurchased shares of common stock (other than Excluded Repurchased Shares as set forth in the Repurchase Letter Agreement and the Shareholders Agreement Amendment) in the 30-day period preceding May 12, 2026.</w:t>
      </w: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Liberty Broadband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33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3375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Corporation By: /s/ Brittany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7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 Uthoff Name: Brittany A.</w:t>
        <w:tab/>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Uthoff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325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611983" TargetMode="External"/><Relationship Id="rId14" Type="http://schemas.openxmlformats.org/officeDocument/2006/relationships/hyperlink" Target="http://www.sec.gov/cgi-bin/browse-edgar?action=getcompany&amp;CIK=0001091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2026-05-14T15:45:31Z</dcterms:created>
  <dcterms:modified xsi:type="dcterms:W3CDTF">2026-05-14T15:45:31Z</dcterms:modified>
</cp:coreProperties>
</file>