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center"/>
        <w:rPr/>
      </w:pPr>
      <w:r>
        <w:rPr>
          <w:rFonts w:ascii="Times New Roman;serif" w:hAnsi="Times New Roman;serif"/>
          <w:b/>
          <w:color w:val="000000"/>
          <w:sz w:val="32"/>
        </w:rPr>
        <w:t>FORM 10-Q</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(Mark One)</w:t>
      </w:r>
    </w:p>
    <w:tbl>
      <w:tblPr>
        <w:tblW w:w="9282" w:type="dxa"/>
        <w:jc w:val="left"/>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p>
      <w:pPr>
        <w:pStyle w:val="TextBody"/>
        <w:bidi w:val="0"/>
        <w:spacing w:lineRule="auto" w:line="345"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88" w:before="100" w:after="100"/>
        <w:jc w:val="center"/>
        <w:rPr>
          <w:rFonts w:ascii="Times New Roman;serif" w:hAnsi="Times New Roman;serif"/>
          <w:b w:val="false"/>
          <w:color w:val="000000"/>
          <w:sz w:val="18"/>
        </w:rPr>
      </w:pPr>
      <w:r>
        <w:rPr>
          <w:rFonts w:ascii="Times New Roman;serif" w:hAnsi="Times New Roman;serif"/>
          <w:b w:val="false"/>
          <w:color w:val="000000"/>
          <w:sz w:val="18"/>
        </w:rPr>
        <w:t xml:space="preserve">For the Transition Period From             to              </w:t>
      </w:r>
    </w:p>
    <w:tbl>
      <w:tblPr>
        <w:tblW w:w="3194" w:type="dxa"/>
        <w:jc w:val="center"/>
        <w:tblInd w:w="0" w:type="dxa"/>
        <w:tblLayout w:type="fixed"/>
        <w:tblCellMar>
          <w:top w:w="28" w:type="dxa"/>
          <w:left w:w="28" w:type="dxa"/>
          <w:bottom w:w="28" w:type="dxa"/>
          <w:right w:w="28" w:type="dxa"/>
        </w:tblCellMar>
      </w:tblPr>
      <w:tblGrid>
        <w:gridCol w:w="700"/>
        <w:gridCol w:w="616"/>
        <w:gridCol w:w="618"/>
        <w:gridCol w:w="369"/>
        <w:gridCol w:w="369"/>
        <w:gridCol w:w="522"/>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001-37789</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333-112593-01</w:t>
            </w:r>
          </w:p>
        </w:tc>
      </w:tr>
    </w:tbl>
    <w:p>
      <w:pPr>
        <w:pStyle w:val="TextBody"/>
        <w:bidi w:val="0"/>
        <w:spacing w:lineRule="auto" w:line="288" w:before="100" w:after="100"/>
        <w:jc w:val="center"/>
        <w:rPr/>
      </w:pPr>
      <w:r>
        <w:rPr>
          <w:rFonts w:ascii="Times New Roman;serif" w:hAnsi="Times New Roman;serif"/>
          <w:b/>
          <w:color w:val="000000"/>
          <w:sz w:val="28"/>
          <w:u w:val="single"/>
        </w:rPr>
        <w:t>CCO Holdings, LLC</w:t>
      </w:r>
      <w:r>
        <w:rPr>
          <w:color w:val="000000"/>
        </w:rPr>
        <w:t xml:space="preserve"> </w:t>
      </w:r>
    </w:p>
    <w:p>
      <w:pPr>
        <w:pStyle w:val="TextBody"/>
        <w:bidi w:val="0"/>
        <w:spacing w:lineRule="auto" w:line="288" w:before="100" w:after="100"/>
        <w:jc w:val="center"/>
        <w:rPr>
          <w:rFonts w:ascii="Times New Roman;serif" w:hAnsi="Times New Roman;serif"/>
          <w:b/>
          <w:color w:val="000000"/>
          <w:sz w:val="28"/>
          <w:u w:val="single"/>
        </w:rPr>
      </w:pPr>
      <w:r>
        <w:rPr>
          <w:rFonts w:ascii="Times New Roman;serif" w:hAnsi="Times New Roman;serif"/>
          <w:b/>
          <w:color w:val="000000"/>
          <w:sz w:val="28"/>
          <w:u w:val="single"/>
        </w:rPr>
        <w:t>CCO Holdings Capital Corp.</w:t>
      </w:r>
    </w:p>
    <w:p>
      <w:pPr>
        <w:pStyle w:val="TextBody"/>
        <w:bidi w:val="0"/>
        <w:spacing w:lineRule="auto" w:line="288" w:before="0" w:after="0"/>
        <w:jc w:val="center"/>
        <w:rPr/>
      </w:pPr>
      <w:r>
        <w:rPr>
          <w:rFonts w:ascii="Times New Roman;serif" w:hAnsi="Times New Roman;serif"/>
          <w:b w:val="false"/>
          <w:i/>
          <w:color w:val="000000"/>
          <w:sz w:val="16"/>
        </w:rPr>
        <w:t>(Exact name of registrant as specified in its charter)</w:t>
      </w:r>
      <w:r>
        <w:rPr>
          <w:color w:val="000000"/>
        </w:rPr>
        <w:t xml:space="preserve"> </w:t>
      </w:r>
    </w:p>
    <w:tbl>
      <w:tblPr>
        <w:tblW w:w="8731" w:type="dxa"/>
        <w:jc w:val="center"/>
        <w:tblInd w:w="0" w:type="dxa"/>
        <w:tblLayout w:type="fixed"/>
        <w:tblCellMar>
          <w:top w:w="28" w:type="dxa"/>
          <w:left w:w="28" w:type="dxa"/>
          <w:bottom w:w="28" w:type="dxa"/>
          <w:right w:w="28" w:type="dxa"/>
        </w:tblCellMar>
      </w:tblPr>
      <w:tblGrid>
        <w:gridCol w:w="1553"/>
        <w:gridCol w:w="1364"/>
        <w:gridCol w:w="1372"/>
        <w:gridCol w:w="265"/>
        <w:gridCol w:w="265"/>
        <w:gridCol w:w="266"/>
        <w:gridCol w:w="325"/>
        <w:gridCol w:w="325"/>
        <w:gridCol w:w="326"/>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86-1067239</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1772"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20-0257904</w:t>
            </w:r>
          </w:p>
        </w:tc>
      </w:tr>
      <w:tr>
        <w:trPr/>
        <w:tc>
          <w:tcPr>
            <w:tcW w:w="4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77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08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400 Washington Blvd.</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Stamford</w:t>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Connecticut</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06902</w:t>
            </w:r>
          </w:p>
        </w:tc>
      </w:tr>
      <w:tr>
        <w:trPr/>
        <w:tc>
          <w:tcPr>
            <w:tcW w:w="6061"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45" w:before="0" w:after="0"/>
        <w:jc w:val="center"/>
        <w:rPr/>
      </w:pPr>
      <w:r>
        <w:rPr>
          <w:rFonts w:ascii="Times New Roman;serif" w:hAnsi="Times New Roman;serif"/>
          <w:b/>
          <w:color w:val="000000"/>
          <w:sz w:val="16"/>
          <w:u w:val="single"/>
        </w:rPr>
        <w:t>(203) 905-7801</w:t>
      </w:r>
      <w:r>
        <w:rPr>
          <w:color w:val="000000"/>
        </w:rPr>
        <w:t xml:space="preserve"> </w:t>
      </w:r>
    </w:p>
    <w:p>
      <w:pPr>
        <w:pStyle w:val="TextBody"/>
        <w:bidi w:val="0"/>
        <w:spacing w:lineRule="auto" w:line="264"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 None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16"/>
        </w:rPr>
        <w:t xml:space="preserve">x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6"/>
        </w:rPr>
        <w:t xml:space="preserve">Large accelerated filer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Accelerated filer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Non-accelerated filer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Smaller reporting company </w:t>
      </w:r>
      <w:r>
        <w:rPr>
          <w:color w:val="000000"/>
        </w:rPr>
        <w:t>☐     </w:t>
      </w:r>
      <w:r>
        <w:rPr>
          <w:rFonts w:ascii="Times New Roman;serif" w:hAnsi="Times New Roman;serif"/>
          <w:b w:val="false"/>
          <w:color w:val="000000"/>
          <w:sz w:val="16"/>
        </w:rPr>
        <w:t xml:space="preserve">Emerging growth company </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All of the issued and outstanding shares of capital stock of CCO Holdings Capital Corp. are held by CCO Holdings, LLC. All of the limited liability company membership interests of CCO Holdings, LLC are held by CCH I Holdings, LLC (an indirect subsidiary of Charter Communications, Inc., a reporting company under the Exchange Act). There is no public trading market for any of the aforementioned limited liability company membership interests or shares of capital stock.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CCO Holdings, LLC and CCO Holdings Capital Corp. meet the conditions set forth in General Instruction I(1)(a) and (b) to Form 10-K and are therefore filing with the reduced disclosure format.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Number of shares of common stock of CCO Holdings Capital Corporation outstanding as of June 30, 2026: 1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CCO HOLDINGS CAPITAL CORP. </w:t>
      </w:r>
    </w:p>
    <w:p>
      <w:pPr>
        <w:pStyle w:val="TextBody"/>
        <w:bidi w:val="0"/>
        <w:spacing w:lineRule="auto" w:line="288" w:before="0" w:after="0"/>
        <w:jc w:val="center"/>
        <w:rPr/>
      </w:pPr>
      <w:r>
        <w:rPr>
          <w:rFonts w:ascii="Times New Roman;serif" w:hAnsi="Times New Roman;serif"/>
          <w:b/>
          <w:color w:val="000000"/>
          <w:sz w:val="20"/>
        </w:rPr>
        <w:t>QUARTERLY REPORT ON FORM 10-Q FOR THE PERIOD ENDED JUNE 30,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xml:space="preserve"> </w:t>
      </w:r>
    </w:p>
    <w:tbl>
      <w:tblPr>
        <w:tblW w:w="9014" w:type="dxa"/>
        <w:jc w:val="center"/>
        <w:tblInd w:w="0" w:type="dxa"/>
        <w:tblLayout w:type="fixed"/>
        <w:tblCellMar>
          <w:top w:w="28" w:type="dxa"/>
          <w:left w:w="28" w:type="dxa"/>
          <w:bottom w:w="28" w:type="dxa"/>
          <w:right w:w="28" w:type="dxa"/>
        </w:tblCellMar>
      </w:tblPr>
      <w:tblGrid>
        <w:gridCol w:w="283"/>
        <w:gridCol w:w="248"/>
        <w:gridCol w:w="249"/>
        <w:gridCol w:w="2444"/>
        <w:gridCol w:w="2444"/>
        <w:gridCol w:w="2447"/>
        <w:gridCol w:w="263"/>
        <w:gridCol w:w="263"/>
        <w:gridCol w:w="37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3">
              <w:r>
                <w:rPr>
                  <w:rStyle w:val="InternetLink"/>
                  <w:rFonts w:ascii="Times New Roman;serif" w:hAnsi="Times New Roman;serif"/>
                  <w:b w:val="false"/>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3">
              <w:r>
                <w:rPr>
                  <w:rStyle w:val="InternetLink"/>
                  <w:rFonts w:ascii="Times New Roman;serif" w:hAnsi="Times New Roman;serif"/>
                  <w:b w:val="false"/>
                  <w:color w:val="0000FF"/>
                  <w:sz w:val="20"/>
                  <w:u w:val="single"/>
                </w:rPr>
                <w:t>FINANCIAL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6">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6">
              <w:r>
                <w:rPr>
                  <w:rStyle w:val="InternetLink"/>
                  <w:rFonts w:ascii="Times New Roman;serif" w:hAnsi="Times New Roman;serif"/>
                  <w:b w:val="false"/>
                  <w:color w:val="0000FF"/>
                  <w:sz w:val="20"/>
                  <w:u w:val="single"/>
                </w:rPr>
                <w:t xml:space="preserve">Financial Statements </w:t>
                <w:noBreakHyphen/>
                <w:t xml:space="preserve"> CCO Holdings, LLC and Subsidiaries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9">
              <w:r>
                <w:rPr>
                  <w:rStyle w:val="InternetLink"/>
                  <w:rFonts w:ascii="Times New Roman;serif" w:hAnsi="Times New Roman;serif"/>
                  <w:b w:val="false"/>
                  <w:color w:val="0000FF"/>
                  <w:sz w:val="20"/>
                  <w:u w:val="single"/>
                </w:rPr>
                <w:t>Consolidated Balance Sheets as of June 30, 2026 and December 31,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19">
              <w:r>
                <w:rPr>
                  <w:rStyle w:val="InternetLink"/>
                  <w:rFonts w:ascii="Times New Roman;serif" w:hAnsi="Times New Roman;serif"/>
                  <w:b w:val="false"/>
                  <w:color w:val="0000FF"/>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25">
              <w:r>
                <w:rPr>
                  <w:rStyle w:val="InternetLink"/>
                  <w:rFonts w:ascii="Times New Roman;serif" w:hAnsi="Times New Roman;serif"/>
                  <w:b w:val="false"/>
                  <w:color w:val="0000FF"/>
                  <w:sz w:val="20"/>
                  <w:u w:val="single"/>
                </w:rPr>
                <w:t>Consolidated Statements of Operations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25">
              <w:r>
                <w:rPr>
                  <w:rStyle w:val="InternetLink"/>
                  <w:rFonts w:ascii="Times New Roman;serif" w:hAnsi="Times New Roman;serif"/>
                  <w:b w:val="false"/>
                  <w:color w:val="0000FF"/>
                  <w:sz w:val="20"/>
                  <w:u w:val="single"/>
                </w:rPr>
                <w:t>for the three and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25">
              <w:r>
                <w:rPr>
                  <w:rStyle w:val="InternetLink"/>
                  <w:rFonts w:ascii="Times New Roman;serif" w:hAnsi="Times New Roman;serif"/>
                  <w:b w:val="false"/>
                  <w:color w:val="0000FF"/>
                  <w:sz w:val="20"/>
                  <w:u w:val="single"/>
                </w:rPr>
                <w:t>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28">
              <w:r>
                <w:rPr>
                  <w:rStyle w:val="InternetLink"/>
                  <w:rFonts w:ascii="Times New Roman;serif" w:hAnsi="Times New Roman;serif"/>
                  <w:b w:val="false"/>
                  <w:color w:val="0000FF"/>
                  <w:sz w:val="20"/>
                  <w:u w:val="single"/>
                </w:rPr>
                <w:t>Consolidated Statements of Changes in Member's Equity</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28">
              <w:r>
                <w:rPr>
                  <w:rStyle w:val="InternetLink"/>
                  <w:rFonts w:ascii="Times New Roman;serif" w:hAnsi="Times New Roman;serif"/>
                  <w:b w:val="false"/>
                  <w:color w:val="0000FF"/>
                  <w:sz w:val="20"/>
                  <w:u w:val="single"/>
                </w:rPr>
                <w:t>for the three and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28">
              <w:r>
                <w:rPr>
                  <w:rStyle w:val="InternetLink"/>
                  <w:rFonts w:ascii="Times New Roman;serif" w:hAnsi="Times New Roman;serif"/>
                  <w:b w:val="false"/>
                  <w:color w:val="0000FF"/>
                  <w:sz w:val="20"/>
                  <w:u w:val="singl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31">
              <w:r>
                <w:rPr>
                  <w:rStyle w:val="InternetLink"/>
                  <w:rFonts w:ascii="Times New Roman;serif" w:hAnsi="Times New Roman;serif"/>
                  <w:b w:val="false"/>
                  <w:color w:val="0000FF"/>
                  <w:sz w:val="20"/>
                  <w:u w:val="single"/>
                </w:rPr>
                <w:t>Consolidated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31">
              <w:r>
                <w:rPr>
                  <w:rStyle w:val="InternetLink"/>
                  <w:rFonts w:ascii="Times New Roman;serif" w:hAnsi="Times New Roman;serif"/>
                  <w:b w:val="false"/>
                  <w:color w:val="0000FF"/>
                  <w:sz w:val="20"/>
                  <w:u w:val="single"/>
                </w:rPr>
                <w:t>for the six months ended June 30, 2026 and 2025</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31">
              <w:r>
                <w:rPr>
                  <w:rStyle w:val="InternetLink"/>
                  <w:rFonts w:ascii="Times New Roman;serif" w:hAnsi="Times New Roman;serif"/>
                  <w:b w:val="false"/>
                  <w:color w:val="0000FF"/>
                  <w:sz w:val="20"/>
                  <w:u w:val="singl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34">
              <w:r>
                <w:rPr>
                  <w:rStyle w:val="InternetLink"/>
                  <w:rFonts w:ascii="Times New Roman;serif" w:hAnsi="Times New Roman;serif"/>
                  <w:b w:val="false"/>
                  <w:color w:val="0000FF"/>
                  <w:sz w:val="20"/>
                  <w:u w:val="single"/>
                </w:rPr>
                <w:t>Notes to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34">
              <w:r>
                <w:rPr>
                  <w:rStyle w:val="InternetLink"/>
                  <w:rFonts w:ascii="Times New Roman;serif" w:hAnsi="Times New Roman;serif"/>
                  <w:b w:val="false"/>
                  <w:color w:val="0000FF"/>
                  <w:sz w:val="20"/>
                  <w:u w:val="singl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76">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76">
              <w:r>
                <w:rPr>
                  <w:rStyle w:val="InternetLink"/>
                  <w:rFonts w:ascii="Times New Roman;serif" w:hAnsi="Times New Roman;serif"/>
                  <w:b w:val="false"/>
                  <w:color w:val="0000FF"/>
                  <w:sz w:val="20"/>
                  <w:u w:val="single"/>
                </w:rPr>
                <w:t>12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85">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85">
              <w:r>
                <w:rPr>
                  <w:rStyle w:val="InternetLink"/>
                  <w:rFonts w:ascii="Times New Roman;serif" w:hAnsi="Times New Roman;serif"/>
                  <w:b w:val="false"/>
                  <w:color w:val="0000FF"/>
                  <w:sz w:val="20"/>
                  <w:u w:val="single"/>
                </w:rPr>
                <w:t>Quantitative and Qualitative Disclosure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85">
              <w:r>
                <w:rPr>
                  <w:rStyle w:val="InternetLink"/>
                  <w:rFonts w:ascii="Times New Roman;serif" w:hAnsi="Times New Roman;serif"/>
                  <w:b w:val="false"/>
                  <w:color w:val="0000FF"/>
                  <w:sz w:val="20"/>
                  <w:u w:val="single"/>
                </w:rPr>
                <w:t>26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88">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88">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88">
              <w:r>
                <w:rPr>
                  <w:rStyle w:val="InternetLink"/>
                  <w:rFonts w:ascii="Times New Roman;serif" w:hAnsi="Times New Roman;serif"/>
                  <w:b w:val="false"/>
                  <w:color w:val="0000FF"/>
                  <w:sz w:val="20"/>
                  <w:u w:val="single"/>
                </w:rPr>
                <w:t>26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1">
              <w:r>
                <w:rPr>
                  <w:rStyle w:val="InternetLink"/>
                  <w:rFonts w:ascii="Times New Roman;serif" w:hAnsi="Times New Roman;serif"/>
                  <w:b w:val="false"/>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1">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4">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4">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94">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7">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97">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97">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733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03">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03">
              <w:r>
                <w:rPr>
                  <w:rStyle w:val="InternetLink"/>
                  <w:rFonts w:ascii="Times New Roman;serif" w:hAnsi="Times New Roman;serif"/>
                  <w:b w:val="false"/>
                  <w:color w:val="0000FF"/>
                  <w:sz w:val="20"/>
                  <w:u w:val="single"/>
                </w:rPr>
                <w:t xml:space="preserve">Exhibits </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103">
              <w:r>
                <w:rPr>
                  <w:rStyle w:val="InternetLink"/>
                  <w:rFonts w:ascii="Times New Roman;serif" w:hAnsi="Times New Roman;serif"/>
                  <w:b w:val="false"/>
                  <w:color w:val="0000FF"/>
                  <w:sz w:val="20"/>
                  <w:u w:val="single"/>
                </w:rPr>
                <w:t>27</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06">
              <w:r>
                <w:rPr>
                  <w:rStyle w:val="InternetLink"/>
                  <w:rFonts w:ascii="Times New Roman;serif" w:hAnsi="Times New Roman;serif"/>
                  <w:b w:val="false"/>
                  <w:color w:val="0000FF"/>
                  <w:sz w:val="20"/>
                  <w:u w:val="single"/>
                </w:rPr>
                <w:t>Signatures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106">
              <w:r>
                <w:rPr>
                  <w:rStyle w:val="InternetLink"/>
                  <w:rFonts w:ascii="Times New Roman;serif" w:hAnsi="Times New Roman;serif"/>
                  <w:b w:val="false"/>
                  <w:color w:val="000080"/>
                  <w:sz w:val="20"/>
                  <w:u w:val="single"/>
                </w:rPr>
                <w:t>S-</w:t>
              </w:r>
            </w:hyperlink>
            <w:hyperlink w:anchor="i9b8bea2f109a4d1d8d05d9b1c337d524_106">
              <w:r>
                <w:rPr>
                  <w:rStyle w:val="InternetLink"/>
                  <w:rFonts w:ascii="Times New Roman;serif" w:hAnsi="Times New Roman;serif"/>
                  <w:b w:val="false"/>
                  <w:color w:val="000080"/>
                  <w:sz w:val="20"/>
                  <w:u w:val="single"/>
                </w:rPr>
                <w:t>1</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b8bea2f109a4d1d8d05d9b1c337d524_109">
              <w:r>
                <w:rPr>
                  <w:rStyle w:val="InternetLink"/>
                  <w:rFonts w:ascii="Times New Roman;serif" w:hAnsi="Times New Roman;serif"/>
                  <w:b w:val="false"/>
                  <w:color w:val="0000FF"/>
                  <w:sz w:val="20"/>
                  <w:u w:val="single"/>
                </w:rPr>
                <w:t>Exhibit Index</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b8bea2f109a4d1d8d05d9b1c337d524_109">
              <w:r>
                <w:rPr>
                  <w:rStyle w:val="InternetLink"/>
                  <w:rFonts w:ascii="Times New Roman;serif" w:hAnsi="Times New Roman;serif"/>
                  <w:b w:val="false"/>
                  <w:color w:val="000080"/>
                  <w:sz w:val="20"/>
                  <w:u w:val="single"/>
                </w:rPr>
                <w:t>E-</w:t>
              </w:r>
            </w:hyperlink>
            <w:hyperlink w:anchor="i9b8bea2f109a4d1d8d05d9b1c337d524_109">
              <w:r>
                <w:rPr>
                  <w:rStyle w:val="InternetLink"/>
                  <w:rFonts w:ascii="Times New Roman;serif" w:hAnsi="Times New Roman;serif"/>
                  <w:b w:val="false"/>
                  <w:color w:val="000080"/>
                  <w:sz w:val="20"/>
                  <w:u w:val="single"/>
                </w:rPr>
                <w:t>1</w:t>
              </w:r>
            </w:hyperlink>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is for the three and six months ended June 30, 2026. The United States Securities and Exchange Commission (“SEC”) allows us to “incorporate by reference” information that we file with the SEC, which means that we can disclose important information to you by referring you directly to those documents. In this quarterly report, “CCO Holdings,” “we,” “us” and “our” refer to CCO Holdings, LLC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CAUTIONARY STATEMENT REGARDING FORWARD-LOOKING STATEMENTS</w:t>
      </w:r>
      <w:r>
        <w:rPr>
          <w:color w:val="000000"/>
        </w:rPr>
        <w:t xml:space="preserve">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2. “Management’s Discussion and Analysis of Financial Condition and Results of Operations” in this quarterly report.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quarterly report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quarterly report are set forth in this quarterly report on Form 10-Q, in our annual report on Form 10-K, and in other reports or documents that we file from time to time with the SEC, and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general business conditions, unemployment levels and the level of activity in the housing sector and economic uncertainty or downturn;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develop and deploy new products and technologies including consumer services and service platforms;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events that disrupt our networks, information systems or properties and impair our operating activities or our reputation;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procure necessary services and equipment from our vendors in a timely manner and at reasonable costs including in connection with our network evolution and rural construction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obtain programming at reasonable prices or to raise prices to offset, in whole or in part, the effects of higher programming costs (including retransmission consents and distribution requirements);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hire and retain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all covenants in our indentures and credit facilities, any violation of which, if not cured in a timely manner, could trigger a default of our other obligations under cross-default provisions;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satisfy the conditions to consummate the Liberty Broadband Combination and/or the Cox Transactions and/or to consummate the Liberty Broadband Combination and/or the Cox Transactions in a timely manner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related to us being restricted in the operation of our business while the Liberty Broadband Merger Agreement and the Cox Communications Transaction Agreement are in effect;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Liberty Broadband Combination as described in the definitive joint proxy statement/prospectus with respect to the Liberty Broadband Combination, filed by Charter Communications, Inc. on January 22, 2025, including the sections entitled “Risk Factors” and “Where You Can Find More Information” included therein;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risks related to the Cox Transactions as described in the definitive proxy statement with respect to the Cox Transactions, filed by Charter Communications, Inc. on July 2, 2025, including the sections entitled “Risk Factors” and “Where You Can Find More Information” included therein.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attributable to us or any person acting on our behalf are expressly qualified in their entirety by this cautionary statement. We are under no duty or obligation to update any of the forward-looking statements after the date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CCO HOLDINGS, LLC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before="0" w:after="0"/>
        <w:jc w:val="center"/>
        <w:rPr/>
      </w:pPr>
      <w:r>
        <w:rPr/>
      </w:r>
    </w:p>
    <w:tbl>
      <w:tblPr>
        <w:tblW w:w="9917" w:type="dxa"/>
        <w:jc w:val="center"/>
        <w:tblInd w:w="0" w:type="dxa"/>
        <w:tblLayout w:type="fixed"/>
        <w:tblCellMar>
          <w:top w:w="28" w:type="dxa"/>
          <w:left w:w="28" w:type="dxa"/>
          <w:bottom w:w="28" w:type="dxa"/>
          <w:right w:w="28" w:type="dxa"/>
        </w:tblCellMar>
      </w:tblPr>
      <w:tblGrid>
        <w:gridCol w:w="2624"/>
        <w:gridCol w:w="2301"/>
        <w:gridCol w:w="2319"/>
        <w:gridCol w:w="196"/>
        <w:gridCol w:w="736"/>
        <w:gridCol w:w="109"/>
        <w:gridCol w:w="109"/>
        <w:gridCol w:w="109"/>
        <w:gridCol w:w="109"/>
        <w:gridCol w:w="235"/>
        <w:gridCol w:w="885"/>
        <w:gridCol w:w="185"/>
      </w:tblGrid>
      <w:tr>
        <w:trPr/>
        <w:tc>
          <w:tcPr>
            <w:tcW w:w="2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for doubtful accounts of $238 and $219,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CABLE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$41,770 and $41,311,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Customer relationships, net of accumulated amortization of $18,078 and $17,875,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 cable properties, net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MEMBER’S EQUITY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INSTALLMENT PLAN FINANCING FACILITY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CCO Holdings member's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member’s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40,707 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member’s equity</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151,982 </w:t>
            </w:r>
          </w:p>
        </w:tc>
        <w:tc>
          <w:tcPr>
            <w:tcW w:w="1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CCO HOLDINGS, LLC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31"/>
        <w:gridCol w:w="1560"/>
        <w:gridCol w:w="1569"/>
        <w:gridCol w:w="221"/>
        <w:gridCol w:w="733"/>
        <w:gridCol w:w="123"/>
        <w:gridCol w:w="123"/>
        <w:gridCol w:w="123"/>
        <w:gridCol w:w="123"/>
        <w:gridCol w:w="221"/>
        <w:gridCol w:w="733"/>
        <w:gridCol w:w="123"/>
        <w:gridCol w:w="109"/>
        <w:gridCol w:w="109"/>
        <w:gridCol w:w="109"/>
        <w:gridCol w:w="205"/>
        <w:gridCol w:w="679"/>
        <w:gridCol w:w="114"/>
        <w:gridCol w:w="114"/>
        <w:gridCol w:w="114"/>
        <w:gridCol w:w="114"/>
        <w:gridCol w:w="205"/>
        <w:gridCol w:w="679"/>
        <w:gridCol w:w="171"/>
      </w:tblGrid>
      <w:tr>
        <w:trPr/>
        <w:tc>
          <w:tcPr>
            <w:tcW w:w="183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items shown separately below)</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CCO Holdings member</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CCO HOLDINGS, LLC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MEMBER’S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75"/>
        <w:gridCol w:w="1023"/>
        <w:gridCol w:w="1029"/>
        <w:gridCol w:w="560"/>
        <w:gridCol w:w="1918"/>
        <w:gridCol w:w="289"/>
        <w:gridCol w:w="657"/>
        <w:gridCol w:w="1126"/>
        <w:gridCol w:w="340"/>
        <w:gridCol w:w="404"/>
        <w:gridCol w:w="1383"/>
        <w:gridCol w:w="301"/>
      </w:tblGrid>
      <w:tr>
        <w:trPr/>
        <w:tc>
          <w:tcPr>
            <w:tcW w:w="117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CCO Holdings Member’s Equity</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Member’s Equity</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42,580 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42,605 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75"/>
        <w:gridCol w:w="1023"/>
        <w:gridCol w:w="1029"/>
        <w:gridCol w:w="560"/>
        <w:gridCol w:w="1918"/>
        <w:gridCol w:w="289"/>
        <w:gridCol w:w="657"/>
        <w:gridCol w:w="1126"/>
        <w:gridCol w:w="340"/>
        <w:gridCol w:w="404"/>
        <w:gridCol w:w="1383"/>
        <w:gridCol w:w="301"/>
      </w:tblGrid>
      <w:tr>
        <w:trPr/>
        <w:tc>
          <w:tcPr>
            <w:tcW w:w="117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CCO Holdings Member’s Equity</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Member’s Equity</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39,235 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4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40,416 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parent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parent</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40,085 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40,110 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CCO HOLDINGS, LLC AND SUBSIDIARIES</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934" w:type="dxa"/>
        <w:jc w:val="center"/>
        <w:tblInd w:w="0" w:type="dxa"/>
        <w:tblLayout w:type="fixed"/>
        <w:tblCellMar>
          <w:top w:w="28" w:type="dxa"/>
          <w:left w:w="28" w:type="dxa"/>
          <w:bottom w:w="28" w:type="dxa"/>
          <w:right w:w="28" w:type="dxa"/>
        </w:tblCellMar>
      </w:tblPr>
      <w:tblGrid>
        <w:gridCol w:w="2414"/>
        <w:gridCol w:w="2120"/>
        <w:gridCol w:w="2125"/>
        <w:gridCol w:w="213"/>
        <w:gridCol w:w="605"/>
        <w:gridCol w:w="118"/>
        <w:gridCol w:w="118"/>
        <w:gridCol w:w="118"/>
        <w:gridCol w:w="118"/>
        <w:gridCol w:w="213"/>
        <w:gridCol w:w="605"/>
        <w:gridCol w:w="167"/>
      </w:tblGrid>
      <w:tr>
        <w:trPr/>
        <w:tc>
          <w:tcPr>
            <w:tcW w:w="2414"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net income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consolidated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 and dispositions: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and payables to related party</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operating activities</w:t>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expenses related to capital expenditures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investing activities</w:t>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(5,392)</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equipment installment plan financing facility</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costs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parent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parent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from financing activities</w:t>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December 31, 2025, June 30, 2025 and December 31, 2024, cash, cash equivalents and restricted cash includes $90 million, $121 million, $43 million and $47 million of restricted cash included in prepaid expenses and other current assets in the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1.    Organization and Basis of Presentation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Organization</w:t>
      </w:r>
      <w:r>
        <w:rPr>
          <w:color w:val="000000"/>
        </w:rPr>
        <w:t xml:space="preserv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CCO Holdings, LLC (together with its subsidiaries, “CCO Holdings,” or the “Company”) is a leading broadband connectivity company with services available to homes and small to large businesses through its Spectrum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The Company has evolved from providing cable TV to streaming, and from high-speed Internet to a converged broadband, WiFi and mobile experience. Over the Spectrum Fiber Broadband Network and supported by the Company’s 100% U.S.-based employees, the Company offers Seamless Connectivity and Entertainment with Spectrum Internet</w:t>
      </w:r>
      <w:r>
        <w:rPr>
          <w:rFonts w:ascii="Times New Roman;serif" w:hAnsi="Times New Roman;serif"/>
          <w:b w:val="false"/>
          <w:color w:val="000000"/>
          <w:sz w:val="13"/>
        </w:rPr>
        <w:t>®</w:t>
      </w:r>
      <w:r>
        <w:rPr>
          <w:rFonts w:ascii="Times New Roman;serif" w:hAnsi="Times New Roman;serif"/>
          <w:b w:val="false"/>
          <w:color w:val="000000"/>
          <w:sz w:val="20"/>
        </w:rPr>
        <w:t xml:space="preserve">, Mobile, TV and Voice products.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and Spectrum Management Holding Company, LLC (“Spectrum Management”). All of the outstanding capital stock of CCO Holdings Capital Corp. is owned by CCO Holdings. The consolidated financial statements include the accounts of CCO Holdings and all of its subsidiaries where the underlying operations reside. All significant intercompany accounts and transactions among consolidated entities have been eliminated. Charter, Charter Holdings and Spectrum Management have performed financing, cash management, treasury and other services for CCO Holdings on a centralized basis. Changes in member’s equity in the consolidated balance sheets related to these activities have been considered cash receipts (contributions) and payments (distributions) for purposes of the consolidated statements of cash flows and are reflected in financing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U.S. generally accepted accounting principles (“GAAP”) and the rules and regulations of the Securities and Exchange Commission (the “SEC”). Accordingly, certain information and footnote disclosures typically included in the Company's Annual Report on Form 10-K have been condensed or omitted for this quarterly report. The accompanying consolidated financial statements are unaudited and are subject to review by regulatory authorities. However, in the opinion of management, such financial statements include all adjustments, which consist of only normal recurring adjustments, necessary for a fair presentation of the results for the periods presented. Interim results are not necessarily indicative of results for a full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valuation and impairment of franchise assets and goodwill, and income taxes. Actual results could differ from those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equaled net income attributable to CCO Holdings member for the three and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Mergers and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Transaction Agreement, at the closing of the Cox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Equity Sale, Charter will pay $3.5 billion in cash to Cox Enterprises;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combined entity will assume Cox Communications’ approximately $12.4 billion in outstanding net debt and finance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Accounts Payable, Accrued and Other Current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Accounts payable, accrued and other current liabilities consist of the following as of June 30, 2026 and December 31, 2025: </w:t>
      </w:r>
    </w:p>
    <w:p>
      <w:pPr>
        <w:pStyle w:val="TextBody"/>
        <w:bidi w:val="0"/>
        <w:spacing w:before="0" w:after="0"/>
        <w:jc w:val="both"/>
        <w:rPr/>
      </w:pPr>
      <w:r>
        <w:rPr/>
      </w:r>
    </w:p>
    <w:tbl>
      <w:tblPr>
        <w:tblW w:w="6476" w:type="dxa"/>
        <w:jc w:val="center"/>
        <w:tblInd w:w="0" w:type="dxa"/>
        <w:tblLayout w:type="fixed"/>
        <w:tblCellMar>
          <w:top w:w="28" w:type="dxa"/>
          <w:left w:w="28" w:type="dxa"/>
          <w:bottom w:w="28" w:type="dxa"/>
          <w:right w:w="28" w:type="dxa"/>
        </w:tblCellMar>
      </w:tblPr>
      <w:tblGrid>
        <w:gridCol w:w="1125"/>
        <w:gridCol w:w="988"/>
        <w:gridCol w:w="992"/>
        <w:gridCol w:w="258"/>
        <w:gridCol w:w="883"/>
        <w:gridCol w:w="133"/>
        <w:gridCol w:w="109"/>
        <w:gridCol w:w="109"/>
        <w:gridCol w:w="109"/>
        <w:gridCol w:w="344"/>
        <w:gridCol w:w="1175"/>
        <w:gridCol w:w="251"/>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costs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a supply chain finance program, the Company has agreements with third parties that allow its participating vendors to finance payment obligations from the Company with designated third-party financial institutions who act as its paying agent. As a result, the Company has generally extended its payment terms with vendors. A participating vendor may request a participating financial institution to finance one or more of the Company's payment obligations to such vendor prior to the scheduled due date thereof priced at a discount to the original payment obligation from the Company. The Company is not required to provide collateral to the financial institutions. The Company's obligations to participating vendors, including amounts due and scheduled payment dates, are not impacted by the vendors’ decisions to finance amounts due under these financing arrangements. The Company's outstanding payment obligations to participating vendors were $725 million and $735 million as of June 30, 2026 and December 31, 2025, respectively, and are included in accounts payable - trade and accrued capital expenditures above. Cash outflows to the financial institutions are classified as cash flows from operating and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a deferred payment program, the Company has agreements with third parties to pay certain invoices when due, and the Company pays the third parties at a later date, the invoice amount plus interest. The Company's outstanding payment obligation to participating vendors under the deferred payment plan was $1.2 billion and $918 million as of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December 31, 2025, respectively, and is included in short-term borrowings. Cash outflows to the financial institutions are classified as cash flows from financing activities.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4.    Total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our debt as of June 30, 2026 and December 31, 2025 is as follows: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84"/>
        <w:gridCol w:w="439"/>
        <w:gridCol w:w="442"/>
        <w:gridCol w:w="109"/>
        <w:gridCol w:w="109"/>
        <w:gridCol w:w="233"/>
        <w:gridCol w:w="798"/>
        <w:gridCol w:w="120"/>
        <w:gridCol w:w="109"/>
        <w:gridCol w:w="109"/>
        <w:gridCol w:w="109"/>
        <w:gridCol w:w="226"/>
        <w:gridCol w:w="774"/>
        <w:gridCol w:w="116"/>
        <w:gridCol w:w="109"/>
        <w:gridCol w:w="109"/>
        <w:gridCol w:w="109"/>
        <w:gridCol w:w="211"/>
        <w:gridCol w:w="721"/>
        <w:gridCol w:w="109"/>
        <w:gridCol w:w="109"/>
        <w:gridCol w:w="109"/>
        <w:gridCol w:w="109"/>
        <w:gridCol w:w="109"/>
        <w:gridCol w:w="109"/>
        <w:gridCol w:w="233"/>
        <w:gridCol w:w="798"/>
        <w:gridCol w:w="120"/>
        <w:gridCol w:w="109"/>
        <w:gridCol w:w="109"/>
        <w:gridCol w:w="109"/>
        <w:gridCol w:w="226"/>
        <w:gridCol w:w="774"/>
        <w:gridCol w:w="116"/>
        <w:gridCol w:w="109"/>
        <w:gridCol w:w="109"/>
        <w:gridCol w:w="109"/>
        <w:gridCol w:w="211"/>
        <w:gridCol w:w="721"/>
        <w:gridCol w:w="162"/>
      </w:tblGrid>
      <w:tr>
        <w:trPr/>
        <w:tc>
          <w:tcPr>
            <w:tcW w:w="58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secured notes and debentures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facilities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93,845 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94,617 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94,756 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Includes the Company's £625 million fixed-rate British pound sterling denominated notes (the “Sterling Notes”) (remeasured at $829 million and $842 million as of June 30, 2026 and December 31, 2025, respectively, using the exchange rate at the respective dates) and the Company's £650 million aggregate principal amount of Sterling Notes (remeasured at $862 million and $876 million as of June 30, 2026 and December 31, 2025, respectively, using the exchange rate at the respective dates).</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Company has availability under the Charter Communications Operating, LLC ("Charter Operating") credit facilities of approximately $3.7 billion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Company’s senior unsecured and secured notes and debentures as of June 30, 2026 and December 31, 2025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CCO Holdings and CCO Holdings Capital Corp. redeemed $750 million in aggregate principal amount of the outstanding 5.500% senior notes due 2026 and $2.25 billion in aggregate principal amount of the outstanding 5.125% senior notes due 2027. The transactions resulted in a loss on extinguishment of debt of approximately $4 million during the six months ended June 30, 2026 recorded in other income (expenses), net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repurchased $1.2 billion in aggregate principal amount of various series of notes under an open market repurchase program. The transactions resulted in a gain on extinguishment of debt of approximately $243 million during the three and six months ended June 30, 2026 recorded in other income (expenses), net in the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5.    Equipment Installment Plan Financing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CCO EIP Financing, LLC (the “SPV Borrower”), a bankruptcy remote special purpose vehicle and consolidated subsidiary of the Company, is the borrower of a senior secured revolving credit facility to finance the purchase of equipment installment plan receivables (“EIP Receivables”) with a number of financial institutions (the “EIP Financing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facility under the EIP Financing Facility bears interest on the outstanding borrowings based on lenders’ cost of funds plus an applicable margin and was 4.82% and 5.14% as of June 30, 2026 and December 31, 2025, respectively. The EIP Financing Facility has a final maturity date of November 3, 2029, comprised of a twelve-month revolving loan period subject to renewal, and if not renewed, cash flows on EIP Receivables are applied to amortize the loan which may occur over a period of up to three years. SPV Borrower may borrow up to $2.0 billion under the EIP Financing Facility. As of June 30, 2026 and December 31, 2025, the carrying value of the EIP Financing Facility was $1.6 billion and $1.4 billion, respectively, and is included in the Company’s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SPV Borrower’s sole business consists of the purchase or acceptance through capital contributions of the EIP Receivables from Spectrum Mobile Equipment, LLC, (the sole direct parent entity of SPV Borrower that originates the EIP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the subsequent retransfer of or granting of a security interest in such EIP Receivables to the administrative agent under the EIP Financing Facility. The SPV Borrower is a separate legal entity with its own separate creditors who will be entitled, upon its liquidation, to be satisfied out of the SPV Borrower’s assets prior to any assets or value in the SPV Borrower becoming available to the SPV Borrower’s equity holders, and the assets of the SPV Borrower are not available to pay creditors of any other affiliate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EIP Financing Facility is accounted for on a consolidated basis as a secured borrowing. As of June 30, 2026 and December 31, 2025, pledged EIP Receivables with an unpaid principal balance of $2.3 billion and $2.2 billion, respectively, included in accounts receivable, net and other noncurrent assets, and restricted cash of $90 million and $121 million, respectively, included in prepaid expenses and other current assets, are held by the SPV Borrower and reflected in the Company’s consolidated balance sheets. Receipts from mobile customers related to the underlying EIP Receivables are reflected as cash flows from operating activities and borrowings and repayments under the EIP Financing Facility are reflected as cash flows from financing activities in the Company’s consolidated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6.     Accounting for Derivative Instruments and Hedging Activities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the Company's cross-currency derivatives, which are classified within Level 2 of the valuation hierarchy, was $442 million and $406 million and is included in other long-term liabilities on its consolidated balance sheets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financial instruments are recorded in other income (expenses), net in the consolidated statements of operations and consisted of the following.</w:t>
      </w:r>
    </w:p>
    <w:tbl>
      <w:tblPr>
        <w:tblW w:w="10205" w:type="dxa"/>
        <w:jc w:val="left"/>
        <w:tblInd w:w="0" w:type="dxa"/>
        <w:tblLayout w:type="fixed"/>
        <w:tblCellMar>
          <w:top w:w="28" w:type="dxa"/>
          <w:left w:w="28" w:type="dxa"/>
          <w:bottom w:w="28" w:type="dxa"/>
          <w:right w:w="28" w:type="dxa"/>
        </w:tblCellMar>
      </w:tblPr>
      <w:tblGrid>
        <w:gridCol w:w="1798"/>
        <w:gridCol w:w="1579"/>
        <w:gridCol w:w="1584"/>
        <w:gridCol w:w="298"/>
        <w:gridCol w:w="512"/>
        <w:gridCol w:w="154"/>
        <w:gridCol w:w="154"/>
        <w:gridCol w:w="154"/>
        <w:gridCol w:w="154"/>
        <w:gridCol w:w="298"/>
        <w:gridCol w:w="661"/>
        <w:gridCol w:w="154"/>
        <w:gridCol w:w="109"/>
        <w:gridCol w:w="109"/>
        <w:gridCol w:w="109"/>
        <w:gridCol w:w="261"/>
        <w:gridCol w:w="536"/>
        <w:gridCol w:w="135"/>
        <w:gridCol w:w="135"/>
        <w:gridCol w:w="135"/>
        <w:gridCol w:w="135"/>
        <w:gridCol w:w="261"/>
        <w:gridCol w:w="579"/>
        <w:gridCol w:w="201"/>
      </w:tblGrid>
      <w:tr>
        <w:trPr/>
        <w:tc>
          <w:tcPr>
            <w:tcW w:w="179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cross-currency derivative instruments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of Sterling Notes to U.S. dollars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Revenues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revenues by product line are as follows:</w:t>
      </w:r>
    </w:p>
    <w:p>
      <w:pPr>
        <w:pStyle w:val="TextBody"/>
        <w:bidi w:val="0"/>
        <w:spacing w:before="0" w:after="0"/>
        <w:jc w:val="left"/>
        <w:rPr/>
      </w:pPr>
      <w:r>
        <w:rPr/>
      </w:r>
    </w:p>
    <w:tbl>
      <w:tblPr>
        <w:tblW w:w="7861" w:type="dxa"/>
        <w:jc w:val="center"/>
        <w:tblInd w:w="0" w:type="dxa"/>
        <w:tblLayout w:type="fixed"/>
        <w:tblCellMar>
          <w:top w:w="28" w:type="dxa"/>
          <w:left w:w="28" w:type="dxa"/>
          <w:bottom w:w="28" w:type="dxa"/>
          <w:right w:w="28" w:type="dxa"/>
        </w:tblCellMar>
      </w:tblPr>
      <w:tblGrid>
        <w:gridCol w:w="891"/>
        <w:gridCol w:w="784"/>
        <w:gridCol w:w="78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service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Connectivity</w:t>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Mid-market &amp; large business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revenue</w:t>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sales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accounts receivable, net on the consolidated balance sheets includes approximately $1.4 billion and $1.3 billion of current equipment installment plan receivables, respectively, and other noncurrent assets includes approximately $1.2 billion and $1.1 billion of noncurrent equipment installment plan receivables,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operations are managed and reported to its Chief Executive Officer (“CEO”), the Company’s chief operating decision maker (“CODM”), on a consolidated basis. The Company provides broadband connectivity services with all of its services delivered to customers over an advanced communications network. The CODM assesses performance and allocates resources based on the Company’s consolidated statements of operations, as the converged network requires the CODM to manage and evaluate the results of the business in a consolidated manner to drive efficiencies and develop uniform strategies. Accordingly, key components and processes of the Company’s operations are managed centrally, including contracting for programming, capital and new technology development and deployment, plant engineering, customer service, marketing, legal and government affairs. Segment asset information is not used by the CODM to allocate resources. Under this organizational and reporting structure, the Company has one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single reportable segment entity, the Company’s segment performance measure is net income attributable to Charter shareholders. See Note 7 for a description of the Company's disaggregated revenues by product line. Significant segment expenses are presented in the Company’s consolidated statements of operations. Additional disaggregated significant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expenses on a functional basis, that are not separately presented on the Company’s consolidated statements of operations, are presented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Operating Costs and Expenses</w:t>
      </w:r>
    </w:p>
    <w:p>
      <w:pPr>
        <w:pStyle w:val="TextBody"/>
        <w:bidi w:val="0"/>
        <w:spacing w:before="0" w:after="0"/>
        <w:jc w:val="both"/>
        <w:rPr/>
      </w:pPr>
      <w:r>
        <w:rPr/>
      </w:r>
    </w:p>
    <w:tbl>
      <w:tblPr>
        <w:tblW w:w="8882" w:type="dxa"/>
        <w:jc w:val="center"/>
        <w:tblInd w:w="0" w:type="dxa"/>
        <w:tblLayout w:type="fixed"/>
        <w:tblCellMar>
          <w:top w:w="28" w:type="dxa"/>
          <w:left w:w="28" w:type="dxa"/>
          <w:bottom w:w="28" w:type="dxa"/>
          <w:right w:w="28" w:type="dxa"/>
        </w:tblCellMar>
      </w:tblPr>
      <w:tblGrid>
        <w:gridCol w:w="1260"/>
        <w:gridCol w:w="1107"/>
        <w:gridCol w:w="1112"/>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revenue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and technology operations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residential sales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(see Note 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Programming costs consist primarily of costs paid to programmers for basic, premium, video on demand and pay-per-view programming. Other costs of revenue include costs directly related to providing Internet, mobile, video and voice services including mobile device costs, payments to franchise and regulatory authorities, payments for sports, local and news content produced by the Company and direct costs associated with selling advertising. Also included in other costs of revenue are content acquisition costs for the Los Angeles Lakers’ basketball games and Los Angeles Dodgers’ baseball games, which are recorded as games are exhibited over the contract period. Field and technology operations costs include indirect costs incurred to manage the Company's inside and outside cable network, including labor for the non-capitalizable portion of customer installations and service and repairs. Customer operations costs include call center labor costs for customer care, billing costs, bad debt expense, and collections. Marketing and residential sales costs represent the costs of marketing residential and business Internet, mobile, video and voice services and costs to sell to current and potential non-bulk residential customers, including labor cost. Transition expenses represent incremental costs incurred to prepare for the integration of Cox Communications’ operations and to bring systems and processes into a uniform operating structure. See Note 2. Other expense includes corporate overhead costs, as well as certain indirect costs associated with Spectrum Business, Spectrum Reach, Spectrum Networks and Spectrum Community Solutions, including related sales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Operating Expenses, Net</w:t>
      </w:r>
    </w:p>
    <w:p>
      <w:pPr>
        <w:pStyle w:val="TextBody"/>
        <w:bidi w:val="0"/>
        <w:spacing w:before="0" w:after="0"/>
        <w:jc w:val="both"/>
        <w:rPr/>
      </w:pPr>
      <w:r>
        <w:rPr/>
      </w:r>
    </w:p>
    <w:tbl>
      <w:tblPr>
        <w:tblW w:w="7912" w:type="dxa"/>
        <w:jc w:val="center"/>
        <w:tblInd w:w="0" w:type="dxa"/>
        <w:tblLayout w:type="fixed"/>
        <w:tblCellMar>
          <w:top w:w="28" w:type="dxa"/>
          <w:left w:w="28" w:type="dxa"/>
          <w:bottom w:w="28" w:type="dxa"/>
          <w:right w:w="28" w:type="dxa"/>
        </w:tblCellMar>
      </w:tblPr>
      <w:tblGrid>
        <w:gridCol w:w="918"/>
        <w:gridCol w:w="805"/>
        <w:gridCol w:w="811"/>
        <w:gridCol w:w="328"/>
        <w:gridCol w:w="561"/>
        <w:gridCol w:w="169"/>
        <w:gridCol w:w="169"/>
        <w:gridCol w:w="169"/>
        <w:gridCol w:w="169"/>
        <w:gridCol w:w="328"/>
        <w:gridCol w:w="561"/>
        <w:gridCol w:w="169"/>
        <w:gridCol w:w="109"/>
        <w:gridCol w:w="109"/>
        <w:gridCol w:w="109"/>
        <w:gridCol w:w="278"/>
        <w:gridCol w:w="477"/>
        <w:gridCol w:w="144"/>
        <w:gridCol w:w="144"/>
        <w:gridCol w:w="144"/>
        <w:gridCol w:w="144"/>
        <w:gridCol w:w="278"/>
        <w:gridCol w:w="616"/>
        <w:gridCol w:w="203"/>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 costs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Special charges, net primarily includes severance costs and net amounts of litigation settlements. Merger and acquisition costs represent costs incurred primarily in connection with the Cox Transactions, such as advisory, legal and accounting fees, among others. Loss on disposal of assets, net includes a $90 million impairment on non-strategic assets during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CCO HOLDINGS, LLC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where indicated)</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Other Income (Expenses), Net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(expenses), net consist of the following for the periods presented:</w:t>
      </w:r>
    </w:p>
    <w:p>
      <w:pPr>
        <w:pStyle w:val="TextBody"/>
        <w:bidi w:val="0"/>
        <w:spacing w:before="0" w:after="0"/>
        <w:jc w:val="both"/>
        <w:rPr/>
      </w:pPr>
      <w:r>
        <w:rPr/>
      </w:r>
    </w:p>
    <w:tbl>
      <w:tblPr>
        <w:tblW w:w="9725" w:type="dxa"/>
        <w:jc w:val="center"/>
        <w:tblInd w:w="0" w:type="dxa"/>
        <w:tblLayout w:type="fixed"/>
        <w:tblCellMar>
          <w:top w:w="28" w:type="dxa"/>
          <w:left w:w="28" w:type="dxa"/>
          <w:bottom w:w="28" w:type="dxa"/>
          <w:right w:w="28" w:type="dxa"/>
        </w:tblCellMar>
      </w:tblPr>
      <w:tblGrid>
        <w:gridCol w:w="1575"/>
        <w:gridCol w:w="1383"/>
        <w:gridCol w:w="1391"/>
        <w:gridCol w:w="296"/>
        <w:gridCol w:w="654"/>
        <w:gridCol w:w="153"/>
        <w:gridCol w:w="153"/>
        <w:gridCol w:w="153"/>
        <w:gridCol w:w="153"/>
        <w:gridCol w:w="296"/>
        <w:gridCol w:w="612"/>
        <w:gridCol w:w="153"/>
        <w:gridCol w:w="109"/>
        <w:gridCol w:w="109"/>
        <w:gridCol w:w="109"/>
        <w:gridCol w:w="244"/>
        <w:gridCol w:w="628"/>
        <w:gridCol w:w="126"/>
        <w:gridCol w:w="126"/>
        <w:gridCol w:w="126"/>
        <w:gridCol w:w="126"/>
        <w:gridCol w:w="244"/>
        <w:gridCol w:w="628"/>
        <w:gridCol w:w="178"/>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 net</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 (see Note 6)</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net (see Note 4)</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9.</w:t>
      </w:r>
      <w:r>
        <w:rPr>
          <w:color w:val="000000"/>
        </w:rPr>
        <w:t>     </w:t>
      </w:r>
      <w:r>
        <w:rPr>
          <w:rFonts w:ascii="Times New Roman;serif" w:hAnsi="Times New Roman;serif"/>
          <w:b/>
          <w:color w:val="000000"/>
          <w:sz w:val="20"/>
        </w:rPr>
        <w:t>Stock Compensation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Charter’s stock incentive plans provide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Charter granted the following equity awards for the periods presented.</w:t>
      </w:r>
    </w:p>
    <w:p>
      <w:pPr>
        <w:pStyle w:val="TextBody"/>
        <w:bidi w:val="0"/>
        <w:spacing w:before="0" w:after="0"/>
        <w:jc w:val="both"/>
        <w:rPr/>
      </w:pPr>
      <w:r>
        <w:rPr/>
      </w:r>
    </w:p>
    <w:tbl>
      <w:tblPr>
        <w:tblW w:w="8665" w:type="dxa"/>
        <w:jc w:val="center"/>
        <w:tblInd w:w="0" w:type="dxa"/>
        <w:tblLayout w:type="fixed"/>
        <w:tblCellMar>
          <w:top w:w="28" w:type="dxa"/>
          <w:left w:w="28" w:type="dxa"/>
          <w:bottom w:w="28" w:type="dxa"/>
          <w:right w:w="28" w:type="dxa"/>
        </w:tblCellMar>
      </w:tblPr>
      <w:tblGrid>
        <w:gridCol w:w="677"/>
        <w:gridCol w:w="596"/>
        <w:gridCol w:w="601"/>
        <w:gridCol w:w="576"/>
        <w:gridCol w:w="291"/>
        <w:gridCol w:w="291"/>
        <w:gridCol w:w="291"/>
        <w:gridCol w:w="291"/>
        <w:gridCol w:w="291"/>
        <w:gridCol w:w="503"/>
        <w:gridCol w:w="291"/>
        <w:gridCol w:w="291"/>
        <w:gridCol w:w="109"/>
        <w:gridCol w:w="109"/>
        <w:gridCol w:w="109"/>
        <w:gridCol w:w="603"/>
        <w:gridCol w:w="373"/>
        <w:gridCol w:w="258"/>
        <w:gridCol w:w="258"/>
        <w:gridCol w:w="258"/>
        <w:gridCol w:w="258"/>
        <w:gridCol w:w="603"/>
        <w:gridCol w:w="373"/>
        <w:gridCol w:w="364"/>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39,600 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2,431,100 </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1,447,300 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and restricted stock units generally cliff vest three years from the date of grant. Certain stock options and restricted stock units vest based on achievement of stock price hurdles. Stock options generally expire ten years from the grant date and restricted stock units have no voting rights. Restricted stock generally vests one year from the date of grant.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total unrecognized compensation remaining to be recognized in future periods totaled $253 million for stock options, $549 million for restricted stock units and $3 million for restricted stock and the weighted average period over which they are expected to be recognized is two years for stock options and restricted stock units and ten months for restricted stock.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r>
        <w:rPr>
          <w:color w:val="00000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CCO Holdings, LLC (“CCO Holdings”) is a holding company whose principal assets are the equity interests in its operating subsidiaries. CCO Holdings is a direct subsidiary of CCH I Holdings, LLC, which is an indirect subsidiary of Charter Communications, Inc. (“Charter”), Charter Communications Holdings, LLC (“Charter Holdings”) and Spectrum Management Holding Company, LLC. All of the outstanding capital stock of CCO Holdings Capital Corp. is owned by CCO Holdings. The consolidated financial statements include the accounts of CCO Holdings and all of its subsidiaries where the underlying operations reside. All significant intercompany accounts and transactions among consolidated entities have been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broadband connectivity company with services available to nearly 59 million homes and small to large businesses across 41 states through our Spectrum brand.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 Internet, Mobile, TV and Voice products.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The Cox</w:t>
      </w:r>
      <w:r>
        <w:rPr>
          <w:color w:val="000000"/>
        </w:rPr>
        <w:t xml:space="preserve"> </w:t>
      </w:r>
      <w:r>
        <w:rPr>
          <w:rFonts w:ascii="Times New Roman;serif" w:hAnsi="Times New Roman;serif"/>
          <w:b/>
          <w:color w:val="000000"/>
          <w:sz w:val="20"/>
        </w:rPr>
        <w:t>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16, 2025, Charter, Charter Holdings, and Cox Enterprises, Inc. (“Cox Enterprises”) entered into a Transaction Agreement (the “Transaction Agreement”) pursuant to which (i) Cox Enterprises will sell and transfer to Charter 100% of the equity interests of certain subsidiaries of Cox Communications, Inc. (“Cox Communications”) that conduct Cox Communications’ commercial fiber and managed IT and cloud services businesses (the “Equity Sale”), (ii) Cox Enterprises will contribute the equity interests of Cox Communications and certain other assets (other than certain excluded assets) primarily related to Cox Communications’ residential cable business to Charter Holdings (the “Contribution”), and (iii) Cox Enterprises will pay $1.00 to Charter (collectively, the “Cox Transactions”). Under the Transaction Agreement, Charter and Cox Enterprises may designate one or more wholly owned subsidiaries to take actions with respect to Charter and Cox Enterprises,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Transaction Agreement, at the closing of the Cox Transactions (the “Closing”):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Equity Sale, Charter will pay $3.5 billion in cash to Cox Enterprises;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Contribution, Charter Holdings will (i) pay to Cox Enterprises $650 million in cash and (ii) issue to Cox Enterprises convertible preferred units of Charter Holdings with an aggregate liquidation preference of $6.0 billion, which will pay a 6.875% dividend per annum, and approximately 33.6 million Charter Holdings common units. The Charter Holdings convertible preferred units will be convertible into Charter Holdings common units, with an initial conversion price of $477.41, subject to certain adjustments. The Charter Holdings common units will be exchangeable by the holder, in certain circumstances, for cash or, at the election of Charter, Charter Class A common stock on a one-for-one basis, subject to certain adjustments;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consideration of the $1.00 payment from Cox Enterprises to Charter, Charter will issue to Cox Enterprises one share of the newly created Charter Class C common stock. The Charter Class C common stock will be equivalent, economically, to the outstanding Charter Class A common stock and the Charter Class B common stock but will have a number of votes per share that reflect the voting power of the Charter Holdings common units and the Charter Holdings convertible preferred units held by Cox Enterprises on an as-converted, as-exchanged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combined entity will assume Cox Communications’ approximately $12.4 billion in outstanding net debt and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competitive environment continued to challenge our Internet customer growth in the second quarter of 2026 and we lost 172,000 Internet customers. Mobile lines grew by 406,000 while video customer losses improved versus the prior year period driven by improvements to our product offerings with customers finding value in bundling our seamless connectivity and entertainment products. 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We spent $391 million and $818 million on our subsidized rural construction initiative during the three and six months ended June 30, 2026, respectively, and activated approximately 127,000 and 216,000 subsidized rural passings,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realized revenue, Adjusted EBITDA and income from operations during the periods presented as follows (in millions; all percentages are calculated using whole numbers; minor differences may exist due to rounding):</w:t>
      </w:r>
    </w:p>
    <w:p>
      <w:pPr>
        <w:pStyle w:val="TextBody"/>
        <w:bidi w:val="0"/>
        <w:spacing w:before="0" w:after="0"/>
        <w:jc w:val="both"/>
        <w:rPr/>
      </w:pPr>
      <w:r>
        <w:rPr/>
      </w:r>
    </w:p>
    <w:tbl>
      <w:tblPr>
        <w:tblW w:w="9964" w:type="dxa"/>
        <w:jc w:val="center"/>
        <w:tblInd w:w="0" w:type="dxa"/>
        <w:tblLayout w:type="fixed"/>
        <w:tblCellMar>
          <w:top w:w="28" w:type="dxa"/>
          <w:left w:w="28" w:type="dxa"/>
          <w:bottom w:w="28" w:type="dxa"/>
          <w:right w:w="28" w:type="dxa"/>
        </w:tblCellMar>
      </w:tblPr>
      <w:tblGrid>
        <w:gridCol w:w="740"/>
        <w:gridCol w:w="648"/>
        <w:gridCol w:w="652"/>
        <w:gridCol w:w="211"/>
        <w:gridCol w:w="721"/>
        <w:gridCol w:w="109"/>
        <w:gridCol w:w="109"/>
        <w:gridCol w:w="109"/>
        <w:gridCol w:w="109"/>
        <w:gridCol w:w="211"/>
        <w:gridCol w:w="721"/>
        <w:gridCol w:w="109"/>
        <w:gridCol w:w="109"/>
        <w:gridCol w:w="109"/>
        <w:gridCol w:w="109"/>
        <w:gridCol w:w="240"/>
        <w:gridCol w:w="240"/>
        <w:gridCol w:w="551"/>
        <w:gridCol w:w="109"/>
        <w:gridCol w:w="109"/>
        <w:gridCol w:w="109"/>
        <w:gridCol w:w="211"/>
        <w:gridCol w:w="721"/>
        <w:gridCol w:w="109"/>
        <w:gridCol w:w="109"/>
        <w:gridCol w:w="109"/>
        <w:gridCol w:w="109"/>
        <w:gridCol w:w="211"/>
        <w:gridCol w:w="721"/>
        <w:gridCol w:w="109"/>
        <w:gridCol w:w="109"/>
        <w:gridCol w:w="109"/>
        <w:gridCol w:w="109"/>
        <w:gridCol w:w="240"/>
        <w:gridCol w:w="240"/>
        <w:gridCol w:w="614"/>
      </w:tblGrid>
      <w:tr>
        <w:trPr/>
        <w:tc>
          <w:tcPr>
            <w:tcW w:w="74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defined as net income attributable to CCO Holdings member plus net income attributable to noncontrolling interest, interest expense, net, income taxes, depreciation and amortization, stock compensation expense, other income (expenses), net and other operating (income) expenses, net, such as special charges, merger and acquisition costs and (gain) loss on sale or retirement of assets. See “Use of Adjusted EBITDA and Free Cash Flow” for further information on Adjusted EBITDA and free cash flow.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revenues decreased $240 million and $378 million during the three and six months ended June 30, 2026, respectively, compared to the corresponding periods in 2025 primarily due to a higher seamless entertainment allocation and fewer customer relationships, partly offset by mobile line growth. Adjusted EBITDA decreased $240 million and $360 million during the three and six months ended June 30, 2026, respectively, compared to the corresponding periods in 2025 primarily due to lower revenue and higher transition expenses incurred as we prepare to integrate Cox Communications. Income from operations was further impacted by a decrease in merger and acquisition costs.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customer statistics for connectivity, Internet, mobile, video and voice as of June 30, 2026 and 2025 (in thousands except per customer data and footnotes). </w:t>
      </w:r>
    </w:p>
    <w:p>
      <w:pPr>
        <w:pStyle w:val="TextBody"/>
        <w:bidi w:val="0"/>
        <w:spacing w:before="0" w:after="0"/>
        <w:jc w:val="both"/>
        <w:rPr/>
      </w:pPr>
      <w:r>
        <w:rPr/>
      </w:r>
    </w:p>
    <w:tbl>
      <w:tblPr>
        <w:tblW w:w="8109" w:type="dxa"/>
        <w:jc w:val="center"/>
        <w:tblInd w:w="0" w:type="dxa"/>
        <w:tblLayout w:type="fixed"/>
        <w:tblCellMar>
          <w:top w:w="28" w:type="dxa"/>
          <w:left w:w="28" w:type="dxa"/>
          <w:bottom w:w="28" w:type="dxa"/>
          <w:right w:w="28" w:type="dxa"/>
        </w:tblCellMar>
      </w:tblPr>
      <w:tblGrid>
        <w:gridCol w:w="2049"/>
        <w:gridCol w:w="1798"/>
        <w:gridCol w:w="1808"/>
        <w:gridCol w:w="211"/>
        <w:gridCol w:w="721"/>
        <w:gridCol w:w="109"/>
        <w:gridCol w:w="109"/>
        <w:gridCol w:w="109"/>
        <w:gridCol w:w="109"/>
        <w:gridCol w:w="211"/>
        <w:gridCol w:w="721"/>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as of</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0"/>
              </w:rPr>
              <w:t xml:space="preserve">2026 </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firstLine="45"/>
              <w:jc w:val="center"/>
              <w:rPr/>
            </w:pPr>
            <w:r>
              <w:rPr>
                <w:rFonts w:ascii="Times New Roman;serif" w:hAnsi="Times New Roman;serif"/>
                <w:b/>
                <w:color w:val="000000"/>
                <w:sz w:val="20"/>
              </w:rPr>
              <w:t xml:space="preserve">2025 </w:t>
            </w:r>
            <w:r>
              <w:rPr>
                <w:rFonts w:ascii="Times New Roman;serif" w:hAnsi="Times New Roman;serif"/>
                <w:b/>
                <w:color w:val="000000"/>
                <w:sz w:val="13"/>
              </w:rPr>
              <w:t>(a)</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Customer Relationships </w:t>
            </w:r>
            <w:r>
              <w:rPr>
                <w:rFonts w:ascii="Times New Roman;serif" w:hAnsi="Times New Roman;serif"/>
                <w:b/>
                <w:color w:val="000000"/>
                <w:sz w:val="13"/>
              </w:rPr>
              <w:t>(b)</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 Relationships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Monthly Residential Revenue per Residential Customer </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Monthly Small Business Revenue per Small Business Customer </w:t>
            </w:r>
            <w:r>
              <w:rPr>
                <w:rFonts w:ascii="Times New Roman;serif" w:hAnsi="Times New Roman;serif"/>
                <w:b w:val="false"/>
                <w:color w:val="000000"/>
                <w:sz w:val="13"/>
              </w:rPr>
              <w:t>(d)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Connectivity </w:t>
            </w:r>
            <w:r>
              <w:rPr>
                <w:rFonts w:ascii="Times New Roman;serif" w:hAnsi="Times New Roman;serif"/>
                <w:b/>
                <w:color w:val="000000"/>
                <w:sz w:val="13"/>
              </w:rPr>
              <w: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Connectivity Customers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Internet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Internet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Mobile Lines </w:t>
            </w:r>
            <w:r>
              <w:rPr>
                <w:rFonts w:ascii="Times New Roman;serif" w:hAnsi="Times New Roman;serif"/>
                <w:b/>
                <w:color w:val="000000"/>
                <w:sz w:val="13"/>
              </w:rPr>
              <w:t>(f)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Mobile Lines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Video</w:t>
            </w:r>
            <w:r>
              <w:rPr>
                <w:color w:val="000000"/>
              </w:rPr>
              <w:t xml:space="preserve"> </w:t>
            </w:r>
            <w:r>
              <w:rPr>
                <w:rFonts w:ascii="Times New Roman;serif" w:hAnsi="Times New Roman;serif"/>
                <w:b w:val="false"/>
                <w:color w:val="000000"/>
                <w:sz w:val="13"/>
              </w:rPr>
              <w:t>(g)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Video Customers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Voice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Voice Customers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 xml:space="preserve">Mid-Market &amp; Large Business Primary Service Units ("PSUs") </w:t>
            </w:r>
            <w:r>
              <w:rPr>
                <w:rFonts w:ascii="Times New Roman;serif" w:hAnsi="Times New Roman;serif"/>
                <w:b/>
                <w:color w:val="000000"/>
                <w:sz w:val="13"/>
              </w:rPr>
              <w:t>(h)</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We calculate the aging of customer accounts based on the monthly billing cycle for each account in accordance with our collection policies. On that basis, as of June 30, 2026 and 2025, customers include approximately 84,000 and 99,400 customers, respectively, whose accounts were over 60 days past due, approximately 10,100 and 11,600 customers, respectively, whose accounts were over 90 days past due and approximately 13,400 and 18,900 customers, respectively, whose accounts were over 120 days past due. </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Customer relationships include the number of customers that receive one or more levels of service, encompassing Internet, mobile,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mid-market &amp; large business customer relationships. </w:t>
      </w:r>
    </w:p>
    <w:p>
      <w:pPr>
        <w:pStyle w:val="TextBody"/>
        <w:bidi w:val="0"/>
        <w:spacing w:lineRule="auto" w:line="288" w:before="0" w:after="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Monthly residential revenue per residential customer is calculated as total residential quarterly revenue divided by three divided by average residential customer relationships during the respective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Monthly small business revenue per small business customer is calculated as total small business quarterly revenue divided by three divided by average small business customer relationships during the respective quarter.</w:t>
      </w:r>
    </w:p>
    <w:p>
      <w:pPr>
        <w:pStyle w:val="TextBody"/>
        <w:bidi w:val="0"/>
        <w:spacing w:lineRule="auto" w:line="288" w:before="0" w:after="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Connectivity customers represent all customers receiving our Internet and/or mobile connectivity services.</w:t>
      </w:r>
    </w:p>
    <w:p>
      <w:pPr>
        <w:pStyle w:val="TextBody"/>
        <w:bidi w:val="0"/>
        <w:spacing w:lineRule="auto" w:line="288" w:before="0" w:after="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Mobile lines include phones and tablets which require one of our standard rate plans (e.g., "Unlimited" or "By the Gig"). Mobile lines exclude wearables and other devices that do not require standard phone rate plans.</w:t>
      </w:r>
    </w:p>
    <w:p>
      <w:pPr>
        <w:pStyle w:val="TextBody"/>
        <w:bidi w:val="0"/>
        <w:spacing w:lineRule="auto" w:line="288" w:before="0" w:after="0"/>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Video customers only include customers that purchase Spectrum traditional or streaming linear video packages and exclude customers that only purchase streaming applications.</w:t>
      </w:r>
    </w:p>
    <w:p>
      <w:pPr>
        <w:pStyle w:val="TextBody"/>
        <w:bidi w:val="0"/>
        <w:spacing w:lineRule="auto" w:line="288" w:before="0" w:after="0"/>
        <w:ind w:left="0" w:right="0" w:hanging="360"/>
        <w:jc w:val="both"/>
        <w:rPr/>
      </w:pPr>
      <w:r>
        <w:rPr>
          <w:rFonts w:ascii="Times New Roman;serif" w:hAnsi="Times New Roman;serif"/>
          <w:b w:val="false"/>
          <w:color w:val="000000"/>
          <w:sz w:val="13"/>
        </w:rPr>
        <w:t>(h)</w:t>
      </w:r>
      <w:r>
        <w:rPr>
          <w:rFonts w:ascii="Times New Roman;serif" w:hAnsi="Times New Roman;serif"/>
          <w:b w:val="false"/>
          <w:color w:val="000000"/>
          <w:sz w:val="20"/>
        </w:rPr>
        <w:t>Mid-market &amp; large business PSUs represent the aggregate number of fiber service offerings counting each separate service offering at each customer location as an individual PSU.</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color w:val="000000"/>
          <w:sz w:val="20"/>
        </w:rPr>
        <w:t>Critical Accounting Policies and Estimates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the means by which we develop estimates, see “Item 7. Management’s Discussion and Analysis of Financial Condition and Results of Operations” in our 2025 Annual Report on Form 10-K. There have been no material changes from the critical accounting policies described in our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quantitative impairment analysis during the fourth quarter of 2025, the fair value of our franchise intangibles exceeded the carrying value by more than 10% in each unit of accounting. Considering the decline in Charter’s stock price during the quarter ending June 30, 2026, we continue to monitor factors that could impact the fair value of our franchises and goodwill. We do not view this recent decline as representing a fundamental change in the long-term results of our business. However, if the lower stock price persists, we may need to evaluate whether this market perception represents a sustained decline in the market value of our business and perform a quantitative impairment assessment to determine any potential impact on the carrying value of our franchises and 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consolidated statements of operations for the periods presented (dollars in millions):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834"/>
        <w:gridCol w:w="1507"/>
        <w:gridCol w:w="1518"/>
        <w:gridCol w:w="224"/>
        <w:gridCol w:w="768"/>
        <w:gridCol w:w="115"/>
        <w:gridCol w:w="115"/>
        <w:gridCol w:w="115"/>
        <w:gridCol w:w="115"/>
        <w:gridCol w:w="224"/>
        <w:gridCol w:w="768"/>
        <w:gridCol w:w="115"/>
        <w:gridCol w:w="109"/>
        <w:gridCol w:w="109"/>
        <w:gridCol w:w="109"/>
        <w:gridCol w:w="211"/>
        <w:gridCol w:w="721"/>
        <w:gridCol w:w="109"/>
        <w:gridCol w:w="109"/>
        <w:gridCol w:w="109"/>
        <w:gridCol w:w="109"/>
        <w:gridCol w:w="211"/>
        <w:gridCol w:w="721"/>
        <w:gridCol w:w="160"/>
      </w:tblGrid>
      <w:tr>
        <w:trPr/>
        <w:tc>
          <w:tcPr>
            <w:tcW w:w="183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costs and expenses (exclusive of items shown separately below)</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net income </w:t>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CCO Holdings member</w:t>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Revenues.</w:t>
      </w:r>
      <w:r>
        <w:rPr>
          <w:color w:val="000000"/>
        </w:rPr>
        <w:t xml:space="preserve"> </w:t>
      </w:r>
      <w:r>
        <w:rPr>
          <w:rFonts w:ascii="Times New Roman;serif" w:hAnsi="Times New Roman;serif"/>
          <w:b w:val="false"/>
          <w:color w:val="000000"/>
          <w:sz w:val="20"/>
        </w:rPr>
        <w:t>Total revenues decreased $240 million and $378 million during the three and six months ended June 30, 2026, respectively, compared to the corresponding periods in 2025. The decrease was primarily due to a higher seamless entertainment allocation and lower customer relationships, partly offset by mobile line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by service offering were as follows (dollars in millions; all percentages are calculated using whole numbers; minor differences may exist due to rounding):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12"/>
        <w:gridCol w:w="715"/>
        <w:gridCol w:w="690"/>
        <w:gridCol w:w="211"/>
        <w:gridCol w:w="721"/>
        <w:gridCol w:w="109"/>
        <w:gridCol w:w="109"/>
        <w:gridCol w:w="109"/>
        <w:gridCol w:w="109"/>
        <w:gridCol w:w="211"/>
        <w:gridCol w:w="721"/>
        <w:gridCol w:w="109"/>
        <w:gridCol w:w="109"/>
        <w:gridCol w:w="109"/>
        <w:gridCol w:w="109"/>
        <w:gridCol w:w="255"/>
        <w:gridCol w:w="256"/>
        <w:gridCol w:w="551"/>
        <w:gridCol w:w="109"/>
        <w:gridCol w:w="109"/>
        <w:gridCol w:w="109"/>
        <w:gridCol w:w="211"/>
        <w:gridCol w:w="721"/>
        <w:gridCol w:w="109"/>
        <w:gridCol w:w="109"/>
        <w:gridCol w:w="109"/>
        <w:gridCol w:w="109"/>
        <w:gridCol w:w="211"/>
        <w:gridCol w:w="721"/>
        <w:gridCol w:w="109"/>
        <w:gridCol w:w="109"/>
        <w:gridCol w:w="109"/>
        <w:gridCol w:w="109"/>
        <w:gridCol w:w="255"/>
        <w:gridCol w:w="256"/>
        <w:gridCol w:w="61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Connectivity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Mid-market &amp; large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Internet revenues from our residential customers is attributable to the following (dollars in millions):</w:t>
      </w:r>
    </w:p>
    <w:p>
      <w:pPr>
        <w:pStyle w:val="TextBody"/>
        <w:bidi w:val="0"/>
        <w:spacing w:before="0" w:after="0"/>
        <w:jc w:val="both"/>
        <w:rPr/>
      </w:pPr>
      <w:r>
        <w:rPr/>
      </w:r>
    </w:p>
    <w:tbl>
      <w:tblPr>
        <w:tblW w:w="8006" w:type="dxa"/>
        <w:jc w:val="center"/>
        <w:tblInd w:w="0" w:type="dxa"/>
        <w:tblLayout w:type="fixed"/>
        <w:tblCellMar>
          <w:top w:w="28" w:type="dxa"/>
          <w:left w:w="28" w:type="dxa"/>
          <w:bottom w:w="28" w:type="dxa"/>
          <w:right w:w="28" w:type="dxa"/>
        </w:tblCellMar>
      </w:tblPr>
      <w:tblGrid>
        <w:gridCol w:w="1503"/>
        <w:gridCol w:w="1324"/>
        <w:gridCol w:w="1328"/>
        <w:gridCol w:w="489"/>
        <w:gridCol w:w="1117"/>
        <w:gridCol w:w="253"/>
        <w:gridCol w:w="109"/>
        <w:gridCol w:w="109"/>
        <w:gridCol w:w="109"/>
        <w:gridCol w:w="414"/>
        <w:gridCol w:w="945"/>
        <w:gridCol w:w="306"/>
      </w:tblGrid>
      <w:tr>
        <w:trPr/>
        <w:tc>
          <w:tcPr>
            <w:tcW w:w="15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Internet customers</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related to rate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Internet customers decreased by 510,000 customers from June 30, 2025 to June 30, 2026.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mobile service revenues from our residential customers is attributable to the following (dollars in millions):</w:t>
      </w:r>
    </w:p>
    <w:p>
      <w:pPr>
        <w:pStyle w:val="TextBody"/>
        <w:bidi w:val="0"/>
        <w:spacing w:before="0" w:after="0"/>
        <w:jc w:val="both"/>
        <w:rPr/>
      </w:pPr>
      <w:r>
        <w:rPr/>
      </w:r>
    </w:p>
    <w:tbl>
      <w:tblPr>
        <w:tblW w:w="7465" w:type="dxa"/>
        <w:jc w:val="center"/>
        <w:tblInd w:w="0" w:type="dxa"/>
        <w:tblLayout w:type="fixed"/>
        <w:tblCellMar>
          <w:top w:w="28" w:type="dxa"/>
          <w:left w:w="28" w:type="dxa"/>
          <w:bottom w:w="28" w:type="dxa"/>
          <w:right w:w="28" w:type="dxa"/>
        </w:tblCellMar>
      </w:tblPr>
      <w:tblGrid>
        <w:gridCol w:w="1307"/>
        <w:gridCol w:w="1152"/>
        <w:gridCol w:w="1155"/>
        <w:gridCol w:w="497"/>
        <w:gridCol w:w="1101"/>
        <w:gridCol w:w="261"/>
        <w:gridCol w:w="109"/>
        <w:gridCol w:w="109"/>
        <w:gridCol w:w="109"/>
        <w:gridCol w:w="422"/>
        <w:gridCol w:w="934"/>
        <w:gridCol w:w="309"/>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average residential mobile lines</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related to rate </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mobile lines increased by approximately 1.6 million mobile lines from June 30, 2025 to June 30, 2026.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Video revenues consist primarily of revenues from video services provided to our residential customers, as well as franchise fees, equipment service fees and video installation revenue. The decrease in video revenues is attributable to the following (dollars in millions):</w:t>
      </w:r>
    </w:p>
    <w:p>
      <w:pPr>
        <w:pStyle w:val="TextBody"/>
        <w:bidi w:val="0"/>
        <w:spacing w:before="0" w:after="0"/>
        <w:jc w:val="both"/>
        <w:rPr/>
      </w:pPr>
      <w:r>
        <w:rPr/>
      </w:r>
    </w:p>
    <w:tbl>
      <w:tblPr>
        <w:tblW w:w="7931" w:type="dxa"/>
        <w:jc w:val="center"/>
        <w:tblInd w:w="0" w:type="dxa"/>
        <w:tblLayout w:type="fixed"/>
        <w:tblCellMar>
          <w:top w:w="28" w:type="dxa"/>
          <w:left w:w="28" w:type="dxa"/>
          <w:bottom w:w="28" w:type="dxa"/>
          <w:right w:w="28" w:type="dxa"/>
        </w:tblCellMar>
      </w:tblPr>
      <w:tblGrid>
        <w:gridCol w:w="1477"/>
        <w:gridCol w:w="1300"/>
        <w:gridCol w:w="1303"/>
        <w:gridCol w:w="489"/>
        <w:gridCol w:w="1117"/>
        <w:gridCol w:w="253"/>
        <w:gridCol w:w="109"/>
        <w:gridCol w:w="109"/>
        <w:gridCol w:w="109"/>
        <w:gridCol w:w="414"/>
        <w:gridCol w:w="945"/>
        <w:gridCol w:w="306"/>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seamless entertainment allocation</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rate and product mix changes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video customers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Seamless entertainment allocation represents costs allocated to programmer streaming applications and netted within video revenue. The increase in seamless entertainment allocation is due to growth in seamless entertainment applications and higher activations. The decrease related to rate and product mix was primarily due to a higher mix of lower priced video packages within our video customer base and more unfavorable bundled revenue allocation, partly offset by promotional rate step-ups and video rate adjustments that pass-through programming rate increases. Residential video customers decreased by 77,000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voice revenues from our residential customers is attributable to the following (dollars in millions):</w:t>
      </w:r>
    </w:p>
    <w:p>
      <w:pPr>
        <w:pStyle w:val="TextBody"/>
        <w:bidi w:val="0"/>
        <w:spacing w:before="0" w:after="0"/>
        <w:jc w:val="both"/>
        <w:rPr/>
      </w:pPr>
      <w:r>
        <w:rPr/>
      </w:r>
    </w:p>
    <w:tbl>
      <w:tblPr>
        <w:tblW w:w="7826" w:type="dxa"/>
        <w:jc w:val="center"/>
        <w:tblInd w:w="0" w:type="dxa"/>
        <w:tblLayout w:type="fixed"/>
        <w:tblCellMar>
          <w:top w:w="28" w:type="dxa"/>
          <w:left w:w="28" w:type="dxa"/>
          <w:bottom w:w="28" w:type="dxa"/>
          <w:right w:w="28" w:type="dxa"/>
        </w:tblCellMar>
      </w:tblPr>
      <w:tblGrid>
        <w:gridCol w:w="1438"/>
        <w:gridCol w:w="1266"/>
        <w:gridCol w:w="1271"/>
        <w:gridCol w:w="563"/>
        <w:gridCol w:w="1005"/>
        <w:gridCol w:w="292"/>
        <w:gridCol w:w="109"/>
        <w:gridCol w:w="109"/>
        <w:gridCol w:w="109"/>
        <w:gridCol w:w="473"/>
        <w:gridCol w:w="844"/>
        <w:gridCol w:w="347"/>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residential voice customers</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rate adjustments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wireline voice customers decreased by 667,000 customers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small business revenues is attributable to the following (dollars in millions):</w:t>
      </w:r>
    </w:p>
    <w:p>
      <w:pPr>
        <w:pStyle w:val="TextBody"/>
        <w:bidi w:val="0"/>
        <w:spacing w:before="0" w:after="0"/>
        <w:jc w:val="both"/>
        <w:rPr/>
      </w:pPr>
      <w:r>
        <w:rPr/>
      </w:r>
    </w:p>
    <w:tbl>
      <w:tblPr>
        <w:tblW w:w="7872" w:type="dxa"/>
        <w:jc w:val="center"/>
        <w:tblInd w:w="0" w:type="dxa"/>
        <w:tblLayout w:type="fixed"/>
        <w:tblCellMar>
          <w:top w:w="28" w:type="dxa"/>
          <w:left w:w="28" w:type="dxa"/>
          <w:bottom w:w="28" w:type="dxa"/>
          <w:right w:w="28" w:type="dxa"/>
        </w:tblCellMar>
      </w:tblPr>
      <w:tblGrid>
        <w:gridCol w:w="1457"/>
        <w:gridCol w:w="1276"/>
        <w:gridCol w:w="1287"/>
        <w:gridCol w:w="575"/>
        <w:gridCol w:w="985"/>
        <w:gridCol w:w="300"/>
        <w:gridCol w:w="109"/>
        <w:gridCol w:w="109"/>
        <w:gridCol w:w="109"/>
        <w:gridCol w:w="483"/>
        <w:gridCol w:w="828"/>
        <w:gridCol w:w="354"/>
      </w:tblGrid>
      <w:tr>
        <w:trPr/>
        <w:tc>
          <w:tcPr>
            <w:tcW w:w="145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related to rate and product mix changes</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average small business customers</w:t>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Small business customers decreased by 18,000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Mid-market &amp; large business revenues increased $21 million and $36 million during the three and six months ended June 30, 2026, respectively, compared to the corresponding periods in 2025 primarily due to an increase in Internet PSUs. Mid-market &amp; large business PSUs increased 14,000 from June 30, 2025 to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sales revenues consist primarily of revenues from commercial advertising customers, programmers and other vendors, as well as local cable and advertising on regional sports and news channels. Advertising sales revenues increased $45 million and $63 million during the three and six months ended June 30, 2026, respectively, as compared to the corresponding periods in 2025 primarily due to an increase in political and streaming advertising revenue, partly offset by a decrease in linear advertising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revenues consist of revenue from mobile and video device sales, processing fees, regional sports and news channels (excluding intercompany charges or advertising sales on those channels), subsidy revenue, home shopping, wire maintenance fees and other miscellaneous revenues. Other revenues increased $59 million and $172 million during the three and six months ended June 30, 2026, respectively, compared to the corresponding periods in 2025 primarily due to higher mobile device sales, partly offset by a one-time $45 million benefit in the prior year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costs and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decrease in our operating costs and expenses, exclusive of items shown separately in the consolidated statements of operations, are attributable to the following (dollars in millions):</w:t>
      </w:r>
    </w:p>
    <w:p>
      <w:pPr>
        <w:pStyle w:val="TextBody"/>
        <w:bidi w:val="0"/>
        <w:spacing w:before="0" w:after="0"/>
        <w:jc w:val="both"/>
        <w:rPr/>
      </w:pPr>
      <w:r>
        <w:rPr/>
      </w:r>
    </w:p>
    <w:tbl>
      <w:tblPr>
        <w:tblW w:w="6610" w:type="dxa"/>
        <w:jc w:val="center"/>
        <w:tblInd w:w="0" w:type="dxa"/>
        <w:tblLayout w:type="fixed"/>
        <w:tblCellMar>
          <w:top w:w="28" w:type="dxa"/>
          <w:left w:w="28" w:type="dxa"/>
          <w:bottom w:w="28" w:type="dxa"/>
          <w:right w:w="28" w:type="dxa"/>
        </w:tblCellMar>
      </w:tblPr>
      <w:tblGrid>
        <w:gridCol w:w="999"/>
        <w:gridCol w:w="878"/>
        <w:gridCol w:w="882"/>
        <w:gridCol w:w="489"/>
        <w:gridCol w:w="1117"/>
        <w:gridCol w:w="253"/>
        <w:gridCol w:w="109"/>
        <w:gridCol w:w="109"/>
        <w:gridCol w:w="109"/>
        <w:gridCol w:w="414"/>
        <w:gridCol w:w="945"/>
        <w:gridCol w:w="306"/>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revenue</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and technology operations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residential sales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expenses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Programming costs were approximately $2.0 billion and $2.3 billion for the three months ended June 30, 2026 and 2025, representing 25% and 27% of total operating costs and expenses, respectively, and $4.1 billion and $4.6 billion for the six months ended June 30, 2026 and 2025, representing 25% and 28% of total operating costs and expenses, respectively. Programming costs consist primarily of costs paid to programmers for basic, premium, video on demand, and pay-per-view programming. Programming costs decreased as a result of a $184 million and $355 million increase in costs allocated to seamless entertainment applications and netted within video revenue during the three and six months ended June 30, 2026, respectively, compared to the corresponding periods in 2025 as well as a higher mix of lower cost video packages within our video customer base and fewer video customers, partly offset by contractual rate adjustments, including renewals and increases in amounts paid for retransmission consent.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costs of revenue increased $186 million and $367 million during the three and six months ended June 30, 2026, respectively, compared to the corresponding periods in 2025 primarily due to higher mobile device sales and mobile service direct costs due to an increase in mobile lines as well as higher advertising sales costs given higher political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Transition expenses represent incremental costs incurred to prepare for the integration of Cox Communications’ operations and to bring systems and processes into a uniform operating structure.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$20 million and $51 million during the three and six months ended June 30, 2026, respectively, compared to the corresponding periods in 2025 primarily due to an increase in depreciation as a result of more recent capital expenditures, partly offset by certain assets becoming fully depreciated.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0"/>
        </w:rPr>
        <w:t xml:space="preserve">Other operating expenses, net. </w:t>
      </w:r>
      <w:r>
        <w:rPr>
          <w:rFonts w:ascii="Times New Roman;serif" w:hAnsi="Times New Roman;serif"/>
          <w:b w:val="false"/>
          <w:color w:val="000000"/>
          <w:sz w:val="20"/>
        </w:rPr>
        <w:t>The change in other operating expenses, net is attributable to the following (dollars in millions):</w:t>
      </w:r>
    </w:p>
    <w:p>
      <w:pPr>
        <w:pStyle w:val="TextBody"/>
        <w:bidi w:val="0"/>
        <w:spacing w:before="0" w:after="0"/>
        <w:jc w:val="both"/>
        <w:rPr/>
      </w:pPr>
      <w:r>
        <w:rPr/>
      </w:r>
    </w:p>
    <w:tbl>
      <w:tblPr>
        <w:tblW w:w="6386" w:type="dxa"/>
        <w:jc w:val="center"/>
        <w:tblInd w:w="0" w:type="dxa"/>
        <w:tblLayout w:type="fixed"/>
        <w:tblCellMar>
          <w:top w:w="28" w:type="dxa"/>
          <w:left w:w="28" w:type="dxa"/>
          <w:bottom w:w="28" w:type="dxa"/>
          <w:right w:w="28" w:type="dxa"/>
        </w:tblCellMar>
      </w:tblPr>
      <w:tblGrid>
        <w:gridCol w:w="918"/>
        <w:gridCol w:w="805"/>
        <w:gridCol w:w="811"/>
        <w:gridCol w:w="563"/>
        <w:gridCol w:w="1005"/>
        <w:gridCol w:w="292"/>
        <w:gridCol w:w="109"/>
        <w:gridCol w:w="109"/>
        <w:gridCol w:w="109"/>
        <w:gridCol w:w="414"/>
        <w:gridCol w:w="945"/>
        <w:gridCol w:w="306"/>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net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 costs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net</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to the accompanying consolidated financial statements contained in “Item 1. Financial Statements”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 xml:space="preserve">Net interest expense increased by $16 million and $30 million for the three and six months ended June 30, 2026, respectively, compared to the corresponding periods in 2025 primarily due to an increase in weighted average debt.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Other income (expenses), net. </w:t>
      </w:r>
      <w:r>
        <w:rPr>
          <w:rFonts w:ascii="Times New Roman;serif" w:hAnsi="Times New Roman;serif"/>
          <w:b w:val="false"/>
          <w:color w:val="000000"/>
          <w:sz w:val="20"/>
        </w:rPr>
        <w:t>The change in other income (expenses), net is attributable to the following (dollars in millions):</w:t>
      </w:r>
    </w:p>
    <w:p>
      <w:pPr>
        <w:pStyle w:val="TextBody"/>
        <w:bidi w:val="0"/>
        <w:spacing w:before="0" w:after="0"/>
        <w:jc w:val="both"/>
        <w:rPr/>
      </w:pPr>
      <w:r>
        <w:rPr/>
      </w:r>
    </w:p>
    <w:tbl>
      <w:tblPr>
        <w:tblW w:w="8200" w:type="dxa"/>
        <w:jc w:val="center"/>
        <w:tblInd w:w="0" w:type="dxa"/>
        <w:tblLayout w:type="fixed"/>
        <w:tblCellMar>
          <w:top w:w="28" w:type="dxa"/>
          <w:left w:w="28" w:type="dxa"/>
          <w:bottom w:w="28" w:type="dxa"/>
          <w:right w:w="28" w:type="dxa"/>
        </w:tblCellMar>
      </w:tblPr>
      <w:tblGrid>
        <w:gridCol w:w="1575"/>
        <w:gridCol w:w="1383"/>
        <w:gridCol w:w="1391"/>
        <w:gridCol w:w="497"/>
        <w:gridCol w:w="1101"/>
        <w:gridCol w:w="261"/>
        <w:gridCol w:w="109"/>
        <w:gridCol w:w="109"/>
        <w:gridCol w:w="109"/>
        <w:gridCol w:w="422"/>
        <w:gridCol w:w="934"/>
        <w:gridCol w:w="309"/>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investments, net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 (see Note 6)</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net (see Note 4)</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and the Notes referenced above to the accompanying consolidated financial statements contained in “Item 1. Financial Statements” for more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Income tax expense.</w:t>
      </w:r>
      <w:r>
        <w:rPr>
          <w:color w:val="000000"/>
        </w:rPr>
        <w:t xml:space="preserve"> </w:t>
      </w:r>
      <w:r>
        <w:rPr>
          <w:rFonts w:ascii="Times New Roman;serif" w:hAnsi="Times New Roman;serif"/>
          <w:b w:val="false"/>
          <w:color w:val="000000"/>
          <w:sz w:val="20"/>
        </w:rPr>
        <w:t xml:space="preserve">We recognized income tax expense of $16 million and $30 million for the three and six months ended June 30, 2026, respectively, and $15 million and $24 million for the three and six months ended June 30, 2025,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income attributable to noncontrolling interest.</w:t>
      </w:r>
      <w:r>
        <w:rPr>
          <w:color w:val="000000"/>
        </w:rPr>
        <w:t xml:space="preserve"> </w:t>
      </w:r>
      <w:r>
        <w:rPr>
          <w:rFonts w:ascii="Times New Roman;serif" w:hAnsi="Times New Roman;serif"/>
          <w:b w:val="false"/>
          <w:color w:val="000000"/>
          <w:sz w:val="20"/>
        </w:rPr>
        <w:t>Net income attributable to noncontrolling interest relates to our third-party interest in CV of Viera, LLP, a consolidated joint venture in a small cable system in Florida.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Net income attributable to CCO Holdings member.</w:t>
      </w:r>
      <w:r>
        <w:rPr>
          <w:color w:val="000000"/>
        </w:rPr>
        <w:t xml:space="preserve"> </w:t>
      </w:r>
      <w:r>
        <w:rPr>
          <w:rFonts w:ascii="Times New Roman;serif" w:hAnsi="Times New Roman;serif"/>
          <w:b w:val="false"/>
          <w:color w:val="000000"/>
          <w:sz w:val="20"/>
        </w:rPr>
        <w:t xml:space="preserve">Net income attributable to CCO Holdings member increased $43 million and $12 million during the three and six months ended June 30, 2026, respectively, compared to the corresponding periods in 2025 primarily as a result of the factors described above.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Use of Adjusted EBITDA</w:t>
      </w:r>
      <w:r>
        <w:rPr>
          <w:color w:val="000000"/>
        </w:rPr>
        <w:t xml:space="preserve"> </w:t>
      </w:r>
      <w:r>
        <w:rPr>
          <w:rFonts w:ascii="Times New Roman;serif" w:hAnsi="Times New Roman;serif"/>
          <w:b/>
          <w:color w:val="000000"/>
          <w:sz w:val="20"/>
        </w:rPr>
        <w:t>and 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CCO Holdings member and net cash flows from operating activities reported in accordance with GAAP. These terms, as defined by us, may not be comparable to similarly titled measures used by other companies. Adjusted EBITDA and free cash flow are reconciled to net income attributable to CCO Holdings member and net cash flows from operating activities, respectively,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intangible assets used in generating revenues and our cash cost of financing. These costs are evaluated through other financial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net cash flows from operating activities, less capital expenditures and changes in accrued expenses related to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Securities and Exchange Commission (the “SEC”)). For the purpose of calculating compliance with leverage covenants, we use Adjusted EBITDA, as presented, excluding certain expenses paid by our operating subsidiaries to other Charter entities. Our debt covenants refer to these expenses as management fees which were $336 million and $702 million for the three and six months ended June 30, 2026, respectively, and $366 million and $732 million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Adjusted EBITDA and free cash flow to net income attributable to CCO Holdings member and net cash flows from operating activities, respectively, is as follows (dollars in millions):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48"/>
        <w:gridCol w:w="1528"/>
        <w:gridCol w:w="1537"/>
        <w:gridCol w:w="249"/>
        <w:gridCol w:w="731"/>
        <w:gridCol w:w="129"/>
        <w:gridCol w:w="129"/>
        <w:gridCol w:w="129"/>
        <w:gridCol w:w="129"/>
        <w:gridCol w:w="249"/>
        <w:gridCol w:w="731"/>
        <w:gridCol w:w="129"/>
        <w:gridCol w:w="109"/>
        <w:gridCol w:w="109"/>
        <w:gridCol w:w="109"/>
        <w:gridCol w:w="211"/>
        <w:gridCol w:w="721"/>
        <w:gridCol w:w="109"/>
        <w:gridCol w:w="109"/>
        <w:gridCol w:w="109"/>
        <w:gridCol w:w="109"/>
        <w:gridCol w:w="211"/>
        <w:gridCol w:w="721"/>
        <w:gridCol w:w="160"/>
      </w:tblGrid>
      <w:tr>
        <w:trPr/>
        <w:tc>
          <w:tcPr>
            <w:tcW w:w="174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CCO Holdings member</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income attributable to noncontrolling interest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operating activities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plant and equipment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expenses related to capital expenditures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amounts of debt and require significant cash to fund principal and interest payments on our debt. The principal amount of our debt as of June 30, 2026 was $93.8 billion, consisting of $12.5 billion of credit facility debt, $54.7 billion of investment grade senior secured notes and $26.7 billion of high-yield senior unsecured notes. Our split credit rating allows us to access both the investment grade debt and the high yield debt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projected cash needs and projected sources of liquidity depend upon, among other things, our actual results, and the timing and amount of our expenditures. Free cash flow was $1.1 billion and $2.5 billion for the three and six months ended June 30, 2026, respectively, and $1.6 billion and $3.2 billion for the three and six months ended June 30, 2025, respectively. See the table below for factors impacting free cash flow during the three and six months ended June 30, 2026 compared to the corresponding prior periods. As of June 30, 2026, the amount available under our credit facilities was approximately $3.7 billion and cash on hand was approximately $285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and exchange offers or redemption provisions. In the second quarter of 2026, we executed an open market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retired $1.2 billion in aggregate principal amount of various series of notes during the three and six months ended June 30, 2026. We are also required to fund approximately $4.2 billion of cash purchase price at the closing of the Cox Transactions. We believe we have sufficient liquidity from cash on hand, free cash flow and Charter Communications Operating, LLC’s ("Charter Operating") revolving credit facility as well as access to the capital markets to fund our projected cash needs.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evaluate the deployment of our cash on hand and anticipated future free cash flow, including investing in our business growth and other strategic opportunities, including expanding the capacity of our network, the expansion of our network through our rural broadband construction initiative, the build-out and deployment of our CBRS spectrum, and mergers and acquisitions as well as distributions to parent companies for stock repurchases and dividends. Charter's leverage ratio of net debt to the last twelve months Adjusted EBITDA was 4.18 times as of June 30, 2026. Charter plans to maintain a leverage ratio, pro forma for the closing of the Liberty Broadband Corporation (“Liberty Broadband”) Combination near the midpoint of its stated range of 4.0 to 4.5 times Adjusted EBITDA in the period leading up to the Closing, and up to 3.5 times Adjusted EBITDA at the Charter Operating first lien level. Charter plans to adjust its long-term target leverage after the Closing to 3.5 times Adjusted EBITDA. We currently expect to decrease the total amount of our indebtedness to achieve Charter’s target leverage.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Excluding purchases from Liberty Broadband discussed below, during the three and six months ended June 30, 2026, Charter purchased in the public market approximately 2.1 million and 5.5 million shares of Charter Class A common stock, respectively, for approximately $433 million and $1.2 billion, respectively, and during the three and six months ended June 30, 2025, Charter purchased in the public market approximately 3.0 million and 4.2 million shares of Charter Class A common stock, respectively, for approximately $1.1 billion and $1.6 billion, respectively. Since the beginning of its buyback program in September 2016 through June 30, 2026, Charter has purchased approximately 188.0 million shares of Class A common stock and Charter Holdings common units for approximately $80.6 billion, including purchases from Liberty Broadband and Advance/Newhouse Partnership (“A/N”) discussed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Charter, Liberty Broadband, Fusion Merger Sub 1, LLC, a wholly owned subsidiary of Charter, and Fusion Merger Sub 2, Inc., a wholly owned subsidiary of Fusion Merger Sub 1, LLC, entered into an Agreement and Plan of Merger (as it may be amended or supplemented from time to time, the “Merger Agreement”), pursuant to which, subject to the terms and conditions set forth therein, Charter will acquire Liberty Broadband through the merger of Fusion Merger Sub 2, Inc. with and into Liberty Broadband (the “Merger”), with Liberty Broadband surviving the Merger and becoming an indirect wholly owned subsidiary of Charter. Immediately following the Merger, Liberty Broadband, as the surviving corporation of the Merger, will merge with and into Fusion Merger Sub 1, LLC (the “Upstream Merger” and together with the Merger, the “Liberty Broadband Combination”), with Fusion Merger Sub 1, LLC surviving the Upstream Merger as a wholly owned subsidiary of Charter.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12, 2024, Charter and Liberty Broadband also entered into Amendment No. 1 to the Second Amended and Restated Stockholders Agreement and the Letter Agreement (the “Stockholders and Letter Agreement Amendment”). The Stockholders and Letter Agreement Amendment sets forth, among other things, the terms of Liberty Broadband’s participation in Charter’s share repurchases during the period between the execution of the Merger Agreement and the effective time of the Merger. Pursuant to the Stockholders and Letter Agreement Amendment, each month during the pendency of the proposed transaction, Charter will repurchase shares of Charter Class A common stock from Liberty Broadband in an amount equal to the greater of (i) $100 million and (ii) the Liberty Broadband minimum liquidity threshold as set forth in the Stockholders and Letter Agreement Amendment, provided that if any repurchase would reduce Liberty Broadband’s equity interest in Charter below 25.25% after giving effect to such repurchase or if all or a portion of such repurchase is not permitted under applicable law, then Charter shall instead loan to Liberty Broadband an amount equal to the lesser of (x) the repurchase amount that cannot be repurchased and (y) the Liberty Broadband minimum liquidity threshold as set forth in the Stockholders and Letter Agreement Amendment less the repurchase amount that is repurchased, with such loan on the terms set forth in the Stockholders and Letter Agreement Amendment. From and after the date Liberty Broadband’s exchangeable debentures are no longer outstanding, the amount of monthly repurchases will be the lesser of (i) $100 million and (ii) an amount equal to the sum of (x) the amount needed, in the reasonable judgment of Charter, to maintain an unrestricted cash balance of Liberty Broadband and its subsidiaries (other than GCI Holdings, LLC, GCI Spinco (as defined in the Merger Agreement) and their respective subsidiaries) of $50 million plus (y) the aggregate outstanding principal amount of the Liberty Broadband margin loan. The purchase price payable by Charter to Liberty Broadband in connection with such monthly repurchases will equal (i) the average price paid by Charter for shares of Charter Class A common stock repurchased during the immediately preceding calendar month (excluding shares repurchased from A/N and certain other excluded repurchases) or (ii) if Charter has not engaged in any repurchases of shares of Charter Class A common stock during the immediately preceding calendar month (other than any repurchases from A/N and certain other excluded repurchases), a purchase price based on a Bloomberg volume-weighted average price methodology proposed by Charter and reasonably acceptable to Liberty Broadband. Liberty Broadband will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proceeds from any such repurchases or borrowings from Charter to repay certain of its outstanding indebtedness in accordance with the Stockholders and Letter Agreement Amendment. The Stockholders and Letter Agreement Amendment provides that Liberty Broadband will be exempt from the standstill restrictions and the ownership cap under the Second Amended and Restated Stockholders Agreement among Charter, Liberty Broadband and A/N, dated as of May 23, 2015 to the extent its ownership in Charter exceeds such ownership cap solely as a result of the repurchase provisions in the Stockholders and Letter Agreement Amendment. During the three and six months ended June 30, 2026, Charter purchased from Liberty Broadband 1.9 million and 2.8 million shares of Charter Class A common stock, respectively, for approximately $405 million and $595 million, respectively, and during the three and six months ended June 30, 2025, Charter purchased from Liberty Broadband 0.8 million and 1.6 million shares of Charter Class A common stock, respectively, for approximately $300 million and $600 million, respectively. Additionally, pursuant to the Merger Agreement and Stockholders and Letter Agreement Amendment, in May 2026, Charter advanced a term loan to Liberty Broadband in the aggregate principal amount of approximately $359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2016, Charter and A/N entered into a letter agreement, as amended in December 2017 (the “Existing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In connection with the Cox Transactions, Charter, Charter Holdings and A/N entered into an amendment to the Existing A/N Repurchase Letter, dated as of May 16, 2025 (the “A/N Repurchase Letter Amendment”) which sets forth, among other things, the updated terms of A/N’s participation in Charter’s share repurchases going forward. The right to participate pro rata in repurchases on the terms and conditions set forth in the A/N Repurchase Letter Amendment is effective only from the earlier of the Closing and, in the event the Transaction Agreement is terminated in accordance with its terms, the date of such termination (such earlier date, the “Trigger Date”). Prior to the Trigger Date, the Existing A/N Letter Agreement will remain in full force and continue to govern A/N’s participation in Charter’s share repurchases, except for certain specific amendments set forth in the A/N Repurchase Letter Amendment which became effective upon execution of the A/N Repurchase Letter Amendment, including, in certain circumstances, where A/N elects not to participate in redemptions by Charter Holdings because such participation would cause A/N’s equity interest in Charter to be less than 11% prior to the Trigger Date, A/N may, subject to certain conditions, elect to receive a tax loan from Charter Holdings on the terms set forth in the A/N Repurchase Letter Amendment and in definitive documents in form and substance reasonably satisfactory to Charter and A/N. During the three and six months ended June 30, 2025, Charter Holdings purchased from A/N 0.6 million and 0.7 million Charter Holdings common units for approximately $232 million and $252 million, respectively. Charter Holdings did not purchase any Charter Holdings common units from A/N during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4, 2025, Charter received a notice from A/N pursuant to the Existing Letter Agreement, whereby A/N notified Charter that A/N was suspending the standing share repurchase agreement between A/N and Charter (the “Suspension”). The Suspension took effect immediately after the first repurchase closing date under the Existing Letter Agreement to occur following the date of the notice. In the notice, A/N informed Charter that it intends for the Suspension to continue through the consummation of the closing of the Cox Transactions or the termination thereof, but reserved the right to end such Suspension before or after such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Charter had remaining board authority to purchase an additional $365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 To the extent such purchases occur, CCO Holdings and its subsidiaries are the primary source for funding such purchases through distributions to their parent companies.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including the Cox Transactions or Liberty Broadband Combination, dispositions or system swaps, or that any such transactions will be material to our operations or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 cash flow decreased $557 million and $757 million during the three and six months ended June 30, 2026, respectively, compared to the corresponding prior periods in 2025 due to the following (dollars in millions):</w:t>
      </w:r>
    </w:p>
    <w:p>
      <w:pPr>
        <w:pStyle w:val="TextBody"/>
        <w:bidi w:val="0"/>
        <w:spacing w:before="0" w:after="0"/>
        <w:jc w:val="both"/>
        <w:rPr/>
      </w:pPr>
      <w:r>
        <w:rPr/>
      </w:r>
    </w:p>
    <w:tbl>
      <w:tblPr>
        <w:tblW w:w="8395" w:type="dxa"/>
        <w:jc w:val="center"/>
        <w:tblInd w:w="0" w:type="dxa"/>
        <w:tblLayout w:type="fixed"/>
        <w:tblCellMar>
          <w:top w:w="28" w:type="dxa"/>
          <w:left w:w="28" w:type="dxa"/>
          <w:bottom w:w="28" w:type="dxa"/>
          <w:right w:w="28" w:type="dxa"/>
        </w:tblCellMar>
      </w:tblPr>
      <w:tblGrid>
        <w:gridCol w:w="1645"/>
        <w:gridCol w:w="1444"/>
        <w:gridCol w:w="1455"/>
        <w:gridCol w:w="489"/>
        <w:gridCol w:w="1117"/>
        <w:gridCol w:w="253"/>
        <w:gridCol w:w="109"/>
        <w:gridCol w:w="109"/>
        <w:gridCol w:w="109"/>
        <w:gridCol w:w="414"/>
        <w:gridCol w:w="945"/>
        <w:gridCol w:w="306"/>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June 30, 2026</w:t>
              <w:br/>
              <w:t xml:space="preserve">compared to </w:t>
              <w:b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br/>
              <w:t xml:space="preserve">compared to </w:t>
              <w:br/>
              <w:t xml:space="preserve">six months ended </w:t>
              <w:br/>
              <w:t>June 30, 2025</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Adjusted EBITDA</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capital expenditures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paid for taxes, net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paid for interest, net</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excluding mobile devices</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mobile devices</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Information about Guarantors, Issuers of Guaranteed Securities, Affiliates Whose Securities Collateralize a Registrant’s Securities and Consolidated Subsidiaries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CCO Holdings, Charter Operating, Time Warner Cable, LLC and Time Warner Cable Enterprises LLC (collectively, the “Issuers”) and substantially all of Charter Operating’s direct and indirect subsidiaries (the “Obligor Subsidiaries” and together with the Issuers, collectively, the “Obligor Group” and each an “Obligor”) jointly, severally, fully and unconditionally guarantee the outstanding debt securities of the respective Issuers (other than the CCO Holdings unsecured notes) and Charter Operating’s credit facilities on a senior basis (collectively, the “Guaranteed and Secured Debt”). Such guarantees are pari passu in right of payment with all senior indebtedness of the guarantors and senior in right of payment to subordinated obligations of the guarantors. Each guarantee will be limited to the maximum amount that can be guaranteed by the relevant guarantor without rendering the relevant guarantee, as it relates to that guarantor, voidable or otherwise ineffective or limited under applicable law, and enforcement of each guarantee would be subject to certain generally available defenses. The Guaranteed and Secured Debt is structurally subordinated to the creditors (including trade creditors) and preference shareholders (if any) of Charter Operating’s non-guarantor subsidiaries.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Guaranteed and Secured Debt and the subsidiary guarantees thereof are also secured by (i) a lien on substantially all of the assets of Charter Operating and the Obligor Subsidiaries, to the extent such lien can be perfected under the Uniform Commercial Code by the filing of a financing statement, and (ii) a pledge of substantially all of the equity interests of subsidiaries owned by Charter Operating or the Obligor Subsidiaries (the “Pledged Equity Interests”), as well as intercompany obligations owing to it by any of such entities ((i) and (ii) collectively, the “Collateral”). In addition, payments of a mortgage note, currently outstanding for approximately $256 million, incurred by a single-asset special purpose entity to finance construction of the first building of the Charter headquarters in Stamford, Connecticut are guaranteed by the Obligor Group and rank equally with the liens on the Collateral securing the Guaranteed and Secured Debt. No assets of any of Charter Operating’s non-guarantor subsidiaries (including any capital stock owned by any such subsidiary) will constitute Collateral. The subsidiary guarantees are effectively senior to all unsecured debt or debt secured by junior liens of the subsidiary guarantors, in each case to the extent of the value of the collateral securing the guarantee obligations of the subsidiary guarantors. Upon the occurrence and during the continuance of an event of default under the Guaranteed and Secured Debt, subject to the terms of an intercreditor agreement, the security documents governing the Guaranteed and Secured Debt provide for (among other available remedies) the foreclosure upon and sale of the Collateral by the collateral agent(s) of the respective Guaranteed and Secured Debt and the distribution of the net proceeds of any such sale to the holders and/or the lenders of the Guaranteed and Secured Debt on a pro rata basis, subject to any prior liens on the Collateral. We believe there is no separate trading market for the Pledged Equity Interests.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presently expect that after the Closing: (i) the outstanding unsecured notes issued by Cox Communications that will be assumed at the Closing will constitute Guaranteed and Secured Debt and (ii) Cox Communications and, subject to certain exceptions, substantially all of its subsidiaries will become Obligors. Additionally, all or a portion of the approximately $4.2 billion of indebtedness issued to finance the cash payment under the Cox Transactions may constitute Guaranteed and Secured Debt when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Charter Operating subsidiaries that are regulated entities are only designated as guarantor subsidiaries, and certain related assets (including the capital stock of such regulated entities) are only required to be pledged as Collateral, upon approval by regulators. The guaranteed obligations and collateral of an Obligor Subsidiary (including Pledged Equity Interests) may be released under certain circumstances permitted under the documentation governing the Guaranteed and Secured Debt, including if an Obligor Subsidiary no longer qualifies as a “Subsidiary” of Charter Operating under transactions not prohibited by the Charter Operating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bankruptcy remote special purpose vehicle and consolidated subsidiary, CCO EIP Financing, LLC, (the “SPV Borrower”) is the borrower of a senior secured revolving credit facility to finance the purchase of equipment installment plan receivables (“EIP Receivables”) with a number of financial institutions (the “EIP Financing Facility”). Borrowings under the EIP Financing Facility are secured by the EIP Receivables transferred to the SPV Borrower, future collections on such EIP Receivables, and related assets consisting primarily of restricted cash. We and our other subsidiaries do not guarantee any principal or interest payable by SPV Borrower under the EIP Financing Facility and SPV Borrower is not a guarantor of the Guaranteed and Secured Debt. As of June 30, 2026, the carrying value of the EIP Financing Facility was $1.6 billion and is reflected on our consolidated balance sheets. As of June 30, 2026, pledged EIP Receivables with an unpaid principal balance of $2.3 billion, included in accounts receivable, net and other noncurrent assets, and restricted cash of $90 million, included in prepaid expenses and other current assets, are held by the SPV Borrower and reflected on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Note 9 to the consolidated financial statements contained in our Annual Report on Form 10-K for the year ended December 31, 2025 for further details about the terms, conditions and other factors that may affect payments to holders and the collateral arrangements of the Guaranteed and Secured Debt.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Because the assets, liabilities and results of operations of the combined Obligor Group are not materially different than corresponding amounts presented in the consolidated financial statements of CCO Holdings, summarized financial information of the Obligor Group have been omitted pursuant to SEC Regulation S-X Rule 13-01,</w:t>
      </w:r>
      <w:r>
        <w:rPr>
          <w:color w:val="000000"/>
        </w:rPr>
        <w:t xml:space="preserve"> </w:t>
      </w:r>
      <w:r>
        <w:rPr>
          <w:rFonts w:ascii="Times New Roman;serif" w:hAnsi="Times New Roman;serif"/>
          <w:b w:val="false"/>
          <w:i/>
          <w:color w:val="000000"/>
          <w:sz w:val="20"/>
        </w:rPr>
        <w:t>Financial Statements of Guarantors and Issuers of Guaranteed Securities Registered or Being Registered</w:t>
      </w:r>
      <w:r>
        <w:rPr>
          <w:color w:val="000000"/>
        </w:rPr>
        <w:t xml:space="preserve"> </w:t>
      </w:r>
      <w:r>
        <w:rPr>
          <w:rFonts w:ascii="Times New Roman;serif" w:hAnsi="Times New Roman;serif"/>
          <w:b w:val="false"/>
          <w:color w:val="000000"/>
          <w:sz w:val="20"/>
        </w:rPr>
        <w:t xml:space="preserve">and S-X Rule 13-02, </w:t>
      </w:r>
      <w:r>
        <w:rPr>
          <w:rFonts w:ascii="Times New Roman;serif" w:hAnsi="Times New Roman;serif"/>
          <w:b w:val="false"/>
          <w:i/>
          <w:color w:val="000000"/>
          <w:sz w:val="20"/>
        </w:rPr>
        <w:t>Affiliates Whose Securities Collateralize Securities Registered Or Being Registered</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Limitations on 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by us and our subsidiaries to a parent company for payment of principal on parent company notes are restricted under CCO Holdings indentures governing CCO Holdings' indebtedness, unless there is no default under the applicable indenture, and unless CCO Holdings' leverage ratio test is met at the time of such distribution. As of June 30, 2026, there was no default under any of these indentures, and CCO Holdings met its leverage ratio test based on June 30, 2026 financial results. There can be no assurance that CCO Holdings will satisfy its leverage ratio test at the time of the contemplated distribution.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limitation on distributions under the various indentures, distributions by our subsidiaries may be limited by applicable law, including the Delaware Limited Liability Company Act, under which our subsidiaries may only make distributions if they have “surplus” as defined in the act.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Historical Operating, Investing, and 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Cash and Cash Equivalents. </w:t>
      </w:r>
      <w:r>
        <w:rPr>
          <w:rFonts w:ascii="Times New Roman;serif" w:hAnsi="Times New Roman;serif"/>
          <w:b w:val="false"/>
          <w:color w:val="000000"/>
          <w:sz w:val="20"/>
        </w:rPr>
        <w:t>We held $285 million and $218 million in cash and cash equivalents as of June 30, 2026 and December 31, 2025, respectively. In addition, we held $90 million and $121 million in restricted cash included in prepaid and other current assets in our consolidated balance sheets as of June 30, 2026 and December 31, 2025,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Net cash provided by operating activities decreased $108 million during the six months ended June 30, 2026 compared to the six months ended June 30, 2025 primarily due to lower Adjusted EBITDA, partly offset by favorable changes in working capital.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Net cash used in investing activities was $6.0 billion and $5.4 billion for the six months ended June 30, 2026 and 2025, respectively. The increase in cash used was primarily due to an increase in capital expenditures and changes in accrued expenses related to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 xml:space="preserve">Net cash used in financing activities decreased $565 million during the six months ended June 30, 2026 compared to the six months ended June 30, 2025 primarily due to a decrease in distributions to parent companies and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in short-term borrowings under our deferred payment program, partly offset by an increase in the amount by which repayments of long-term debt exceeded borrowings.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20"/>
        </w:rPr>
        <w:t>Capital Expenditures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significant ongoing capital expenditure requirements.  Capital expenditures were $2.9 billion and $5.7 billion for the three and six months ended June 30, 2026, respectively, and $2.9 billion and $5.3 billion for the three and six months ended June 30, 2025, respectively.  The increase in capital expenditures during the six months ended June 30, 2026 compared to the corresponding period in 2025 was primarily driven by higher spend on network evolution and an increase in customer premise equipment, partly offset by a decrease in line extensions. See the table below for more details.</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expect full year 2026 capital expenditures, excluding impacts from the Cox Transactions, to total approximately $11.4 billion. The actual amount of capital expenditures in 2026 will depend on a number of factors including, but not limited to, the pace of our network evolution and expansion initiatives, supply chain timing and residential and business growth rates.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capital expenditures are funded primarily from cash flows from operating activities and borrowings on our credit facility. In addition, our accrued expenses related to capital expenditures decreased by $162 million and increased by $47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major capital expenditures categories in accordance with National Cable and Telecommunications Association (“NCTA”) disclosure guidelines for the three and six months ended June 30, 2026 and 2025. These disclosure guidelines are not required disclosures under GAAP, nor do they impact our accounting for capital expenditures under GAAP (dollars in millions):</w:t>
      </w:r>
    </w:p>
    <w:p>
      <w:pPr>
        <w:pStyle w:val="TextBody"/>
        <w:bidi w:val="0"/>
        <w:spacing w:before="0" w:after="0"/>
        <w:jc w:val="both"/>
        <w:rPr/>
      </w:pPr>
      <w:r>
        <w:rPr/>
      </w:r>
    </w:p>
    <w:tbl>
      <w:tblPr>
        <w:tblW w:w="9381" w:type="dxa"/>
        <w:jc w:val="center"/>
        <w:tblInd w:w="0" w:type="dxa"/>
        <w:tblLayout w:type="fixed"/>
        <w:tblCellMar>
          <w:top w:w="28" w:type="dxa"/>
          <w:left w:w="28" w:type="dxa"/>
          <w:bottom w:w="28" w:type="dxa"/>
          <w:right w:w="28" w:type="dxa"/>
        </w:tblCellMar>
      </w:tblPr>
      <w:tblGrid>
        <w:gridCol w:w="1451"/>
        <w:gridCol w:w="1273"/>
        <w:gridCol w:w="128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premise equipment</w:t>
            </w:r>
            <w:r>
              <w:rPr>
                <w:color w:val="000000"/>
              </w:rPr>
              <w:t xml:space="preserve"> </w:t>
            </w:r>
            <w:r>
              <w:rPr>
                <w:rFonts w:ascii="Times New Roman;serif" w:hAnsi="Times New Roman;serif"/>
                <w:b w:val="false"/>
                <w:color w:val="000000"/>
                <w:sz w:val="13"/>
              </w:rPr>
              <w:t>(a)</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Scalable infrastructure </w:t>
            </w:r>
            <w:r>
              <w:rPr>
                <w:rFonts w:ascii="Times New Roman;serif" w:hAnsi="Times New Roman;serif"/>
                <w:b w:val="false"/>
                <w:color w:val="000000"/>
                <w:sz w:val="13"/>
              </w:rPr>
              <w:t>(b)</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Upgrade/rebuild </w:t>
            </w:r>
            <w:r>
              <w:rPr>
                <w:rFonts w:ascii="Times New Roman;serif" w:hAnsi="Times New Roman;serif"/>
                <w:b w:val="false"/>
                <w:color w:val="000000"/>
                <w:sz w:val="13"/>
              </w:rPr>
              <w:t>(c)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Support capital </w:t>
            </w:r>
            <w:r>
              <w:rPr>
                <w:rFonts w:ascii="Times New Roman;serif" w:hAnsi="Times New Roman;serif"/>
                <w:b w:val="false"/>
                <w:color w:val="000000"/>
                <w:sz w:val="13"/>
              </w:rPr>
              <w:t>(d)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excluding line extensions</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Subsidized rural construction line extensions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line extensions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line extensions </w:t>
            </w:r>
            <w:r>
              <w:rPr>
                <w:rFonts w:ascii="Times New Roman;serif" w:hAnsi="Times New Roman;serif"/>
                <w:b w:val="false"/>
                <w:color w:val="000000"/>
                <w:sz w:val="13"/>
              </w:rPr>
              <w:t>(e)</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expenditures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 which: </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services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Subsidized rural construction initiative </w:t>
            </w:r>
            <w:r>
              <w:rPr>
                <w:rFonts w:ascii="Times New Roman;serif" w:hAnsi="Times New Roman;serif"/>
                <w:b w:val="false"/>
                <w:color w:val="000000"/>
                <w:sz w:val="13"/>
              </w:rPr>
              <w:t>(f)</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w:t>
            </w:r>
            <w:r>
              <w:rPr>
                <w:color w:val="000000"/>
              </w:rPr>
              <w:t xml:space="preserve"> </w:t>
            </w:r>
            <w:r>
              <w:rPr>
                <w:rFonts w:ascii="Times New Roman;serif" w:hAnsi="Times New Roman;serif"/>
                <w:b w:val="false"/>
                <w:color w:val="000000"/>
                <w:sz w:val="13"/>
              </w:rPr>
              <w:t>(g)</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Customer premise equipment includes equipment and devices located at the customer's premise used to deliver our Internet, video and voice services (e.g., modems, routers and set-top boxes), as well as installation costs.</w:t>
      </w:r>
    </w:p>
    <w:p>
      <w:pPr>
        <w:pStyle w:val="TextBody"/>
        <w:bidi w:val="0"/>
        <w:spacing w:lineRule="auto" w:line="288" w:before="0" w:after="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Scalable infrastructure includes costs, not related to customer premise equipment or our network, to secure growth of new customers or provide service enhancements (e.g., headend equipment).</w:t>
      </w:r>
    </w:p>
    <w:p>
      <w:pPr>
        <w:pStyle w:val="TextBody"/>
        <w:bidi w:val="0"/>
        <w:spacing w:lineRule="auto" w:line="288" w:before="0" w:after="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Upgrade/rebuild includes costs to modify or replace existing fiber/coaxial cable networks, including our network evolution initiative.</w:t>
      </w:r>
    </w:p>
    <w:p>
      <w:pPr>
        <w:pStyle w:val="TextBody"/>
        <w:bidi w:val="0"/>
        <w:spacing w:lineRule="auto" w:line="288" w:before="0" w:after="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Support capital includes costs associated with the replacement or enhancement of non-network assets (e.g., back-office systems, non-network equipment, land and buildings, vehicles, tools and test equipment).</w:t>
      </w:r>
    </w:p>
    <w:p>
      <w:pPr>
        <w:pStyle w:val="TextBody"/>
        <w:bidi w:val="0"/>
        <w:spacing w:lineRule="auto" w:line="288" w:before="0" w:after="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 xml:space="preserve">Line extensions include network costs associated with entering new service areas (e.g., fiber/coaxial cable, amplifiers, electronic equipment, make-ready and design engineering). </w:t>
      </w:r>
    </w:p>
    <w:p>
      <w:pPr>
        <w:pStyle w:val="TextBody"/>
        <w:bidi w:val="0"/>
        <w:spacing w:lineRule="auto" w:line="288" w:before="0" w:after="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The subsidized rural construction initiative subcategory includes projects for which we are receiving subsidies from federal, state and local governments, excluding customer premise equipment and installation.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13"/>
        </w:rPr>
        <w:t>(g)</w:t>
      </w:r>
      <w:r>
        <w:rPr>
          <w:rFonts w:ascii="Times New Roman;serif" w:hAnsi="Times New Roman;serif"/>
          <w:b w:val="false"/>
          <w:color w:val="000000"/>
          <w:sz w:val="20"/>
        </w:rPr>
        <w:t>Transition represents incremental capital costs incurred to prepare for the integration of Cox Communications’ operations and to bring systems and processes into a uniform operating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19 to the Annual Report on Form 10-K for the year ended December 31, 2025 for a discussion of recently issued accounting standards. There have been no material changes from the recently issued accounting standards described in our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w:t>
      </w:r>
      <w:r>
        <w:rPr>
          <w:rFonts w:ascii="Times New Roman;serif" w:hAnsi="Times New Roman;serif"/>
          <w:b/>
          <w:i/>
          <w:color w:val="000000"/>
          <w:sz w:val="20"/>
        </w:rPr>
        <w:t>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interest rate risk as previously disclosed in Part II, Item 7A of our Annual Report on Form 10-K for the year ended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under the supervision and with the participation of our management, including our Chief Executive Officer and Chief Financial Officer, we have evaluated the effectiveness of our design and operation of disclosure controls and procedures with respect to the information generated for use in this quarterly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evaluation, we believe that our controls provide such reasonable assurances.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was no change in our internal control over financial reporting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17 to our Annual Report on Form 10-K for the year ended December 31, 2025 for a discussion of legal proceedings. Within this section, we use a threshold of $1 million in disclosing environmental proceedings involving a governmental authority, if 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1A.</w:t>
      </w:r>
      <w:r>
        <w:rPr>
          <w:color w:val="000000"/>
        </w:rPr>
        <w:t>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for the year ended December 31, 2025 includes "Risk Factors" under Item 1A of Part I. There have been no material changes from the risk factors described in our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6.</w:t>
      </w:r>
      <w:r>
        <w:rPr>
          <w:color w:val="000000"/>
        </w:rPr>
        <w:t>     </w:t>
      </w:r>
      <w:r>
        <w:rPr>
          <w:rFonts w:ascii="Times New Roman;serif" w:hAnsi="Times New Roman;serif"/>
          <w:b/>
          <w:i/>
          <w:color w:val="000000"/>
          <w:sz w:val="20"/>
        </w:rPr>
        <w:t>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CCO Holdings, LLC and CCO Holdings Capital Corp. have duly caused this quarterly report to be signed on their behalf by the undersigned, thereunto duly authorized.</w:t>
      </w:r>
    </w:p>
    <w:p>
      <w:pPr>
        <w:pStyle w:val="TextBody"/>
        <w:bidi w:val="0"/>
        <w:spacing w:before="0" w:after="0"/>
        <w:jc w:val="center"/>
        <w:rPr/>
      </w:pPr>
      <w:r>
        <w:rPr/>
      </w:r>
    </w:p>
    <w:tbl>
      <w:tblPr>
        <w:tblW w:w="8551" w:type="dxa"/>
        <w:jc w:val="center"/>
        <w:tblInd w:w="0" w:type="dxa"/>
        <w:tblLayout w:type="fixed"/>
        <w:tblCellMar>
          <w:top w:w="28" w:type="dxa"/>
          <w:left w:w="28" w:type="dxa"/>
          <w:bottom w:w="28" w:type="dxa"/>
          <w:right w:w="28" w:type="dxa"/>
        </w:tblCellMar>
      </w:tblPr>
      <w:tblGrid>
        <w:gridCol w:w="618"/>
        <w:gridCol w:w="544"/>
        <w:gridCol w:w="547"/>
        <w:gridCol w:w="213"/>
        <w:gridCol w:w="213"/>
        <w:gridCol w:w="213"/>
        <w:gridCol w:w="213"/>
        <w:gridCol w:w="213"/>
        <w:gridCol w:w="213"/>
        <w:gridCol w:w="1596"/>
        <w:gridCol w:w="1596"/>
        <w:gridCol w:w="237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LLC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CCO HOLDINGS CAPITAL CORP.</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Howard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Howard</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661"/>
        <w:gridCol w:w="2661"/>
        <w:gridCol w:w="380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Charter Communications, Inc. 2019 Stock Incentive Plan (incorporated by reference to Annex A to the definitive proxy statement for the Charter Communications, Inc. 2019 Annual Meeting of Stockholders filed on March 14, 2019).</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Amendment to the Charter Communications, Inc. 2019 Stock Incentive Plan, dated as of January 28, 2020 (incorporated by reference to Exhibit 10.152 to the Annual Report on Form 10-K of Charter Communications, Inc. filed on January 31, 2020).</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Second Amendment to the Charter Communications, Inc. 2019 Stock Incentive Plan, dated as of April 23, 2024 (incorporated by reference to Appendix B to the definitive proxy statement for the Charter Communications, Inc. 2024 Annual Meeting of Stockholders filed on March 14, 2024).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Third Amendment to Charter Communications, Inc. 2019 Stock Incentive Plan, dated as of April 21, 2026 (incorporated by reference to Appendix B to the Proxy Statement for the Charter Communications, Inc. 2026 Annual Meeting of Stockholders filed March 12,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Employment Agreement, dated as of May 15, 2026, between Charter Communications, Inc. and Jamal Haughton (incorporated by reference to Exhibit 10.1 to the Current Report on Form 8-K filed by Charter Communications, Inc. on May 19,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oh6302026exh-221.htm">
              <w:r>
                <w:rPr>
                  <w:rStyle w:val="InternetLink"/>
                  <w:rFonts w:ascii="Times New Roman;serif" w:hAnsi="Times New Roman;serif"/>
                  <w:b w:val="false"/>
                  <w:color w:val="0000FF"/>
                  <w:sz w:val="20"/>
                  <w:u w:val="single"/>
                </w:rPr>
                <w:t>Issuers and Guarantors of Guaranteed Securities and Affiliate Securities Pledged as Collateral.</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oh6302026exh-311.htm">
              <w:r>
                <w:rPr>
                  <w:rStyle w:val="InternetLink"/>
                  <w:rFonts w:ascii="Times New Roman;serif" w:hAnsi="Times New Roman;serif"/>
                  <w:b w:val="false"/>
                  <w:color w:val="0000FF"/>
                  <w:sz w:val="20"/>
                  <w:u w:val="single"/>
                </w:rPr>
                <w:t>Certificate of Chief Executive Officer pursuant to Rule 13a-14(a)/Rule 15d-14(a) under the under the Securities Exchange Act of 1934.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oh6302026exh-312.htm">
              <w:r>
                <w:rPr>
                  <w:rStyle w:val="InternetLink"/>
                  <w:rFonts w:ascii="Times New Roman;serif" w:hAnsi="Times New Roman;serif"/>
                  <w:b w:val="false"/>
                  <w:color w:val="0000FF"/>
                  <w:sz w:val="20"/>
                  <w:u w:val="single"/>
                </w:rPr>
                <w:t>Certificate of Chief Financial Officer pursuant to Rule 13a-14(a)/Rule 15d-14(a) under the Securities Exchange Act of 1934.</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oh6302026exh-321.htm">
              <w:r>
                <w:rPr>
                  <w:rStyle w:val="InternetLink"/>
                  <w:rFonts w:ascii="Times New Roman;serif" w:hAnsi="Times New Roman;serif"/>
                  <w:b w:val="false"/>
                  <w:color w:val="0000FF"/>
                  <w:sz w:val="20"/>
                  <w:u w:val="single"/>
                </w:rPr>
                <w:t>Certification pursuant to 18 U.S.C. Section 1350, as adopted pursuant to Section 906 of the Sarbanes-Oxley Act of 2002 (Chief Executive Officer).</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coh6302026exh-322.htm">
              <w:r>
                <w:rPr>
                  <w:rStyle w:val="InternetLink"/>
                  <w:rFonts w:ascii="Times New Roman;serif" w:hAnsi="Times New Roman;serif"/>
                  <w:b w:val="false"/>
                  <w:color w:val="0000FF"/>
                  <w:sz w:val="20"/>
                  <w:u w:val="single"/>
                </w:rPr>
                <w:t>Certification pursuant to 18 U.S.C. Section 1350, as adopted pursuant to Section 906 of the Sarbanes-Oxley Act of 2002 (Chief Financial Officer).</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CCO Holdings, LLC’s Quarterly Report on Form 10-Q for the three and six months ended June 30, 2026, filed with the Securities and Exchange Commission on July 24, 2026, formatted in iXBRL (inline eXtensible Business Reporting Language) includes: (i) the Consolidated Balance Sheets; (ii) the Consolidated Statements of Operations; (iii) the Consolidated Statements of Changes in Member’s Equity; (iv) the Consolidated Statements of Cash Flows; and (vi) the Notes to the Consolidated Financial Statements.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in iXBRL and contained in Exhibit 101.</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ind w:left="0" w:right="0" w:hanging="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Issuers and Guarantors of Guaranteed Securities and Affiliate Securities Pledged as Collateral</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CCO Holdings, LLC, a Delaware limited liability company (the “Company”) and each of the CCOH Obligor Subsidiaries (as defined below), have fully and unconditionally guaranteed on a joint, several, full and unconditional basis each of the debt securities listed below, unless such subsidiary is an issuer of the listed debt security. Such guarantees are secured by substantially all of the assets of the CCOH Obligor Subsidiaries, including a pledge of the equity interests of substantially all of the subsidiaries owned by CCO and the other CCOH Obligor Subsidiaries (the “Pledged Equity Interests”).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Securities Issued by Charter Communications Operating, LLC (“CCO”) and Charter Communications Operating Capital Corp. (“CCO Capital”), guaranteed by the Company and each of the CCOH Obligor Subsidiaries (as defined below, other than CCO and CCO Capital) and secured by the Pledged Equity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3.750% senior notes due February 15, 2028</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4.200% senior notes due March 15, 2028</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2.250% senior notes due January 15, 2029</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5.050% senior notes due March 30, 2029</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6.100% senior notes due June 1, 2029</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2.800% senior notes due April 1, 2031</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2.300% senior notes due February 1, 2032</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4.400% senior notes due April 1, 2033</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6.650% senior notes due February 1, 2034</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6.550% senior notes due June 1, 2034</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6.384% senior notes due October 23, 2035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5.850% senior notes due December 1, 2035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5.375% senior notes due April 1, 2038</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3.500% senior notes due June 1, 2041</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3.500% senior notes due March 1, 2042</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6.484% senior notes due October 23, 2045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5.375% senior notes due May 1, 2047</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5.750% senior notes due April 1, 2048</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5.125% senior notes due July 1, 2049</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4.800% senior notes due March 1, 2050</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3.700% senior notes due April 1, 2051</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3.900% senior notes due June 1, 2052</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5.250% senior notes due April 1, 2053</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6.834% senior notes due October 23, 2055</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6.700% senior notes due December 1, 2055</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3.850% senior notes due April 1, 2061</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4.400% senior notes due December 1, 2061</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3.950% senior notes due June 30, 2062</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5.500% senior notes due April 1, 2063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Securities Issued by Time Warner Cable, LLC (“TWC”), guaranteed by the Company and each of the CCOH Obligor Subsidiaries (as defined below, other than TWC) and secured by the Pledged Equity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5.750% sterling senior notes due June 2, 2031</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6.550% senior debentures due May 1, 2037</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7.300% senior debentures due July 1, 2038</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6.750% senior debentures due June 15, 2039</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5.875% senior debentures due November 15, 2040</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5.500% senior debentures due September 1, 2041</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5.250% sterling senior notes due July 15, 2042</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4.500% senior debentures due September 15, 2042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 Securities Issued by Time Warner Cable Enterprises LLC (“TWCE”), guaranteed by the Company and each of the CCOH Obligor Subsidiaries (as defined below, other than TWCE) and secured by the Pledged Equity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8.375% senior debentures due July 15, 2033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color w:val="000000"/>
          <w:sz w:val="20"/>
        </w:rPr>
        <w:t xml:space="preserve">CCOH Obligor Subsidiaries”: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Bresnan Broadband Holdings,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CCO NR Holdings,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ASC,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Charter Communications, LLC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Operating,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Operating Capital Corp.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SSC,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VI HoldCo,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Communications VI,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Distribution,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Leasing Holding Company,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Charter Procurement Leasing,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DukeNet Communications,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Advanced Services,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Gulf Coast,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Mid-America,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Mobile Equipment,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Mobile,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New York Metro,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NLP,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Northeast,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Oceanic,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Originals Development,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Originals,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Pacific West,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Reach,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RSN,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Southeast,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Sunshine State,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TV Essentials,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Spectrum Wireless Holdings,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Time Warner Cable Enterprises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Time Warner Cable,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TWC Administration LLC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TWC Communications, LLC </w:t>
      </w:r>
    </w:p>
    <w:p>
      <w:pPr>
        <w:pStyle w:val="TextBody"/>
        <w:bidi w:val="0"/>
        <w:spacing w:lineRule="auto" w:line="26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TWC SEE Holdco LLC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L. Winfrey,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CCO Holdings, LLC and CCO Holdings Capital Corp.;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0"/>
        <w:jc w:val="left"/>
        <w:rPr/>
      </w:pPr>
      <w:r>
        <w:rPr/>
      </w:r>
    </w:p>
    <w:tbl>
      <w:tblPr>
        <w:tblW w:w="2280" w:type="dxa"/>
        <w:jc w:val="left"/>
        <w:tblInd w:w="0" w:type="dxa"/>
        <w:tblLayout w:type="fixed"/>
        <w:tblCellMar>
          <w:top w:w="28" w:type="dxa"/>
          <w:left w:w="28" w:type="dxa"/>
          <w:bottom w:w="28" w:type="dxa"/>
          <w:right w:w="28" w:type="dxa"/>
        </w:tblCellMar>
      </w:tblPr>
      <w:tblGrid>
        <w:gridCol w:w="729"/>
        <w:gridCol w:w="640"/>
        <w:gridCol w:w="911"/>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L. Winfrey</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L. Winfrey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Jessica M. Fischer, certify that: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CCO Holdings, LLC and CCO Holdings Capital Corp.;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0"/>
        <w:jc w:val="left"/>
        <w:rPr/>
      </w:pPr>
      <w:r>
        <w:rPr/>
      </w:r>
    </w:p>
    <w:tbl>
      <w:tblPr>
        <w:tblW w:w="1859" w:type="dxa"/>
        <w:jc w:val="left"/>
        <w:tblInd w:w="0" w:type="dxa"/>
        <w:tblLayout w:type="fixed"/>
        <w:tblCellMar>
          <w:top w:w="28" w:type="dxa"/>
          <w:left w:w="28" w:type="dxa"/>
          <w:bottom w:w="28" w:type="dxa"/>
          <w:right w:w="28" w:type="dxa"/>
        </w:tblCellMar>
      </w:tblPr>
      <w:tblGrid>
        <w:gridCol w:w="594"/>
        <w:gridCol w:w="522"/>
        <w:gridCol w:w="743"/>
      </w:tblGrid>
      <w:tr>
        <w:trPr/>
        <w:tc>
          <w:tcPr>
            <w:tcW w:w="59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Jessica M. Fischer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Jessica M. Fischer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righ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CHIEF EXECUTIVE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OFFICER REGARDING PERIODIC REPORT CONTAINING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FINANCIAL STATEMENTS</w: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Christopher L. Winfrey, the President and Chief Executive Officer of CCO Holdings, LLC and CCO Holdings Capital Corp. (the "Company") in compliance with 18 U.S.C. Section 1350, as adopted pursuant to Section 906 of the Sarbanes-Oxley Act of 2002, hereby certify that, the Company's Quarterly Report on Form 10-Q for the three and six months ended June 30, 2026 (the "Report") filed with the Securities and Exchange Commission: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fully complies with the requirements of Section 13(a)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240"/>
        <w:jc w:val="left"/>
        <w:rPr/>
      </w:pPr>
      <w:r>
        <w:rPr/>
      </w:r>
    </w:p>
    <w:tbl>
      <w:tblPr>
        <w:tblW w:w="2654" w:type="dxa"/>
        <w:jc w:val="left"/>
        <w:tblInd w:w="0" w:type="dxa"/>
        <w:tblLayout w:type="fixed"/>
        <w:tblCellMar>
          <w:top w:w="28" w:type="dxa"/>
          <w:left w:w="28" w:type="dxa"/>
          <w:bottom w:w="28" w:type="dxa"/>
          <w:right w:w="28" w:type="dxa"/>
        </w:tblCellMar>
      </w:tblPr>
      <w:tblGrid>
        <w:gridCol w:w="850"/>
        <w:gridCol w:w="746"/>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Christopher L. Winfrey</w:t>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Christopher L. Winfrey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July 24, 2026 </w:t>
      </w:r>
    </w:p>
    <w:p>
      <w:pPr>
        <w:pStyle w:val="TextBody"/>
        <w:bidi w:val="0"/>
        <w:spacing w:before="0" w:after="4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CHIEF FINANCIAL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OFFICER REGARDING PERIODIC REPORT CONTAINING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FINANCIAL STATEMENTS</w: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Jessica M. Fischer, the Chief Financial Officer of CCO Holdings, LLC and CCO Holdings Capital Corp. (the "Company"), in compliance with 18 U.S.C. Section 1350, as adopted pursuant to Section 906 of the Sarbanes-Oxley Act of 2002, hereby certify that, the Company's Quarterly Report on Form 10-Q for the three and six months ended June 30, 2026 (the "Report") filed with the Securities and Exchange Commission: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fully complies with the requirements of Section 13(a) of the Securities Exchange Act of 1934;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240"/>
        <w:jc w:val="both"/>
        <w:rPr/>
      </w:pPr>
      <w:r>
        <w:rPr/>
      </w:r>
    </w:p>
    <w:tbl>
      <w:tblPr>
        <w:tblW w:w="2159" w:type="dxa"/>
        <w:jc w:val="left"/>
        <w:tblInd w:w="0" w:type="dxa"/>
        <w:tblLayout w:type="fixed"/>
        <w:tblCellMar>
          <w:top w:w="28" w:type="dxa"/>
          <w:left w:w="28" w:type="dxa"/>
          <w:bottom w:w="28" w:type="dxa"/>
          <w:right w:w="28" w:type="dxa"/>
        </w:tblCellMar>
      </w:tblPr>
      <w:tblGrid>
        <w:gridCol w:w="691"/>
        <w:gridCol w:w="608"/>
        <w:gridCol w:w="860"/>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Jessica M. Fischer</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Jessica M. Fischer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Chief Financial Officer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(Principal Financial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July 24, 2026 </w:t>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1667/000119312519074765/d717086ddef14a.htm" TargetMode="External"/><Relationship Id="rId3" Type="http://schemas.openxmlformats.org/officeDocument/2006/relationships/hyperlink" Target="https://www.sec.gov/Archives/edgar/data/1091667/000109166720000024/chtr12312019exh-10152.htm" TargetMode="External"/><Relationship Id="rId4" Type="http://schemas.openxmlformats.org/officeDocument/2006/relationships/hyperlink" Target="https://www.sec.gov/ix?doc=/Archives/edgar/data/0001091667/000119312524067965/d534477ddef14a.htm" TargetMode="External"/><Relationship Id="rId5" Type="http://schemas.openxmlformats.org/officeDocument/2006/relationships/hyperlink" Target="https://www.sec.gov/ix?doc=/Archives/edgar/data/0001091667/000114036126009220/ny20062718x1_def14a.htm" TargetMode="External"/><Relationship Id="rId6" Type="http://schemas.openxmlformats.org/officeDocument/2006/relationships/hyperlink" Target="https://www.sec.gov/Archives/edgar/data/1091667/000109166726000032/chtr0515268kexh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17205</Words>
  <Characters>96212</Characters>
  <CharactersWithSpaces>112467</CharactersWithSpaces>
  <Paragraphs>1953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